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405D6">
      <w:pPr>
        <w:snapToGrid w:val="0"/>
        <w:spacing w:line="312" w:lineRule="auto"/>
        <w:rPr>
          <w:rFonts w:hint="eastAsia" w:ascii="仿宋" w:hAnsi="仿宋" w:eastAsia="仿宋" w:cs="仿宋"/>
          <w:color w:val="auto"/>
          <w:spacing w:val="20"/>
          <w:szCs w:val="21"/>
          <w:highlight w:val="none"/>
          <w:u w:val="single"/>
        </w:rPr>
      </w:pPr>
    </w:p>
    <w:p w14:paraId="65A6DEFD">
      <w:pPr>
        <w:pStyle w:val="37"/>
        <w:numPr>
          <w:ilvl w:val="0"/>
          <w:numId w:val="0"/>
        </w:numPr>
        <w:jc w:val="center"/>
        <w:outlineLvl w:val="0"/>
        <w:rPr>
          <w:rFonts w:hint="eastAsia" w:ascii="方正小标宋简体" w:hAnsi="黑体" w:eastAsia="方正小标宋简体" w:cs="黑体"/>
          <w:b w:val="0"/>
          <w:bCs/>
          <w:sz w:val="44"/>
          <w:szCs w:val="44"/>
          <w:lang w:eastAsia="zh-CN"/>
        </w:rPr>
      </w:pPr>
      <w:bookmarkStart w:id="0" w:name="_Toc31705"/>
      <w:r>
        <w:rPr>
          <w:rFonts w:hint="eastAsia" w:ascii="方正小标宋简体" w:hAnsi="黑体" w:eastAsia="方正小标宋简体" w:cs="黑体"/>
          <w:b w:val="0"/>
          <w:bCs/>
          <w:sz w:val="44"/>
          <w:szCs w:val="44"/>
        </w:rPr>
        <w:t>汉源县中医医院</w:t>
      </w:r>
      <w:r>
        <w:rPr>
          <w:rFonts w:hint="eastAsia" w:ascii="方正小标宋简体" w:hAnsi="黑体" w:eastAsia="方正小标宋简体" w:cs="黑体"/>
          <w:b w:val="0"/>
          <w:bCs/>
          <w:sz w:val="44"/>
          <w:szCs w:val="44"/>
          <w:lang w:eastAsia="zh-CN"/>
        </w:rPr>
        <w:t>检验病理外送、远程会诊</w:t>
      </w:r>
    </w:p>
    <w:p w14:paraId="28C41C60">
      <w:pPr>
        <w:pStyle w:val="37"/>
        <w:numPr>
          <w:ilvl w:val="0"/>
          <w:numId w:val="0"/>
        </w:numPr>
        <w:jc w:val="center"/>
        <w:outlineLvl w:val="0"/>
        <w:rPr>
          <w:rFonts w:hint="eastAsia" w:ascii="方正小标宋简体" w:hAnsi="黑体" w:eastAsia="方正小标宋简体" w:cs="黑体"/>
          <w:b w:val="0"/>
          <w:bCs/>
          <w:sz w:val="44"/>
          <w:szCs w:val="44"/>
        </w:rPr>
      </w:pPr>
    </w:p>
    <w:p w14:paraId="05C0B54F">
      <w:pPr>
        <w:pStyle w:val="37"/>
        <w:numPr>
          <w:ilvl w:val="0"/>
          <w:numId w:val="0"/>
        </w:numPr>
        <w:jc w:val="center"/>
        <w:outlineLvl w:val="0"/>
        <w:rPr>
          <w:rFonts w:hint="eastAsia" w:ascii="方正小标宋简体" w:hAnsi="黑体" w:eastAsia="方正小标宋简体" w:cs="黑体"/>
          <w:b w:val="0"/>
          <w:bCs/>
          <w:sz w:val="44"/>
          <w:szCs w:val="44"/>
          <w:lang w:eastAsia="zh-CN"/>
        </w:rPr>
      </w:pPr>
      <w:r>
        <w:rPr>
          <w:rFonts w:hint="eastAsia" w:ascii="方正小标宋简体" w:hAnsi="黑体" w:eastAsia="方正小标宋简体" w:cs="黑体"/>
          <w:b w:val="0"/>
          <w:bCs/>
          <w:sz w:val="44"/>
          <w:szCs w:val="44"/>
          <w:lang w:eastAsia="zh-CN"/>
        </w:rPr>
        <w:t>服务</w:t>
      </w:r>
      <w:r>
        <w:rPr>
          <w:rFonts w:hint="eastAsia" w:ascii="方正小标宋简体" w:hAnsi="黑体" w:eastAsia="方正小标宋简体" w:cs="黑体"/>
          <w:b w:val="0"/>
          <w:bCs/>
          <w:sz w:val="44"/>
          <w:szCs w:val="44"/>
        </w:rPr>
        <w:t>项目</w:t>
      </w:r>
      <w:bookmarkEnd w:id="0"/>
      <w:r>
        <w:rPr>
          <w:rFonts w:hint="eastAsia" w:ascii="方正小标宋简体" w:hAnsi="黑体" w:eastAsia="方正小标宋简体" w:cs="黑体"/>
          <w:b w:val="0"/>
          <w:bCs/>
          <w:sz w:val="44"/>
          <w:szCs w:val="44"/>
          <w:lang w:eastAsia="zh-CN"/>
        </w:rPr>
        <w:t>（三次）</w:t>
      </w:r>
    </w:p>
    <w:p w14:paraId="6BC1F33B">
      <w:pPr>
        <w:pStyle w:val="37"/>
        <w:numPr>
          <w:ilvl w:val="0"/>
          <w:numId w:val="0"/>
        </w:numPr>
        <w:jc w:val="center"/>
        <w:outlineLvl w:val="9"/>
        <w:rPr>
          <w:rFonts w:hint="eastAsia" w:ascii="方正小标宋简体" w:hAnsi="黑体" w:eastAsia="方正小标宋简体" w:cs="黑体"/>
          <w:b w:val="0"/>
          <w:bCs/>
          <w:sz w:val="44"/>
          <w:szCs w:val="44"/>
        </w:rPr>
      </w:pPr>
    </w:p>
    <w:p w14:paraId="6C59205E">
      <w:pPr>
        <w:pStyle w:val="37"/>
        <w:numPr>
          <w:ilvl w:val="0"/>
          <w:numId w:val="0"/>
        </w:numPr>
        <w:jc w:val="center"/>
        <w:outlineLvl w:val="9"/>
        <w:rPr>
          <w:rFonts w:hint="eastAsia" w:ascii="方正小标宋简体" w:hAnsi="黑体" w:eastAsia="方正小标宋简体" w:cs="黑体"/>
          <w:b w:val="0"/>
          <w:bCs/>
          <w:sz w:val="44"/>
          <w:szCs w:val="44"/>
        </w:rPr>
      </w:pPr>
    </w:p>
    <w:p w14:paraId="528F655A">
      <w:pPr>
        <w:pStyle w:val="37"/>
        <w:numPr>
          <w:ilvl w:val="0"/>
          <w:numId w:val="0"/>
        </w:numPr>
        <w:jc w:val="center"/>
        <w:outlineLvl w:val="9"/>
        <w:rPr>
          <w:rFonts w:hint="eastAsia" w:ascii="方正小标宋简体" w:hAnsi="黑体" w:eastAsia="方正小标宋简体" w:cs="黑体"/>
          <w:b w:val="0"/>
          <w:bCs/>
          <w:sz w:val="44"/>
          <w:szCs w:val="44"/>
        </w:rPr>
      </w:pPr>
    </w:p>
    <w:p w14:paraId="3509C45F">
      <w:pPr>
        <w:pStyle w:val="37"/>
        <w:numPr>
          <w:ilvl w:val="0"/>
          <w:numId w:val="0"/>
        </w:numPr>
        <w:jc w:val="center"/>
        <w:outlineLvl w:val="9"/>
        <w:rPr>
          <w:rFonts w:hint="eastAsia" w:ascii="方正小标宋简体" w:hAnsi="黑体" w:eastAsia="方正小标宋简体" w:cs="黑体"/>
          <w:b w:val="0"/>
          <w:bCs/>
          <w:sz w:val="44"/>
          <w:szCs w:val="44"/>
        </w:rPr>
      </w:pPr>
    </w:p>
    <w:p w14:paraId="363D66CD">
      <w:pPr>
        <w:pStyle w:val="37"/>
        <w:numPr>
          <w:ilvl w:val="0"/>
          <w:numId w:val="0"/>
        </w:numPr>
        <w:jc w:val="center"/>
        <w:outlineLvl w:val="9"/>
        <w:rPr>
          <w:rFonts w:hint="eastAsia" w:ascii="方正小标宋简体" w:hAnsi="黑体" w:eastAsia="方正小标宋简体" w:cs="黑体"/>
          <w:b w:val="0"/>
          <w:bCs/>
          <w:sz w:val="44"/>
          <w:szCs w:val="44"/>
        </w:rPr>
      </w:pPr>
    </w:p>
    <w:p w14:paraId="4D33D205">
      <w:pPr>
        <w:tabs>
          <w:tab w:val="left" w:pos="0"/>
        </w:tabs>
        <w:snapToGrid/>
        <w:spacing w:line="560" w:lineRule="exact"/>
        <w:jc w:val="center"/>
        <w:outlineLvl w:val="0"/>
        <w:rPr>
          <w:rFonts w:hint="eastAsia"/>
          <w:b/>
          <w:color w:val="000000"/>
          <w:spacing w:val="5"/>
          <w:sz w:val="44"/>
          <w:szCs w:val="44"/>
        </w:rPr>
      </w:pPr>
      <w:bookmarkStart w:id="1" w:name="_Toc5729"/>
      <w:r>
        <w:rPr>
          <w:rFonts w:hint="eastAsia"/>
          <w:b/>
          <w:color w:val="000000"/>
          <w:spacing w:val="5"/>
          <w:sz w:val="44"/>
          <w:szCs w:val="44"/>
        </w:rPr>
        <w:t>竞争性磋商文件</w:t>
      </w:r>
      <w:bookmarkEnd w:id="1"/>
    </w:p>
    <w:p w14:paraId="1B57DFD0">
      <w:pPr>
        <w:widowControl/>
        <w:shd w:val="clear" w:color="auto" w:fill="FFFFFF"/>
        <w:tabs>
          <w:tab w:val="left" w:pos="0"/>
        </w:tabs>
        <w:snapToGrid/>
        <w:spacing w:line="560" w:lineRule="exact"/>
        <w:ind w:firstLine="617"/>
        <w:rPr>
          <w:rFonts w:ascii="Arial" w:hAnsi="Arial" w:cs="Arial"/>
          <w:color w:val="000000"/>
        </w:rPr>
      </w:pPr>
    </w:p>
    <w:p w14:paraId="7A481F99">
      <w:pPr>
        <w:tabs>
          <w:tab w:val="left" w:pos="0"/>
        </w:tabs>
        <w:snapToGrid/>
        <w:spacing w:line="560" w:lineRule="exact"/>
        <w:jc w:val="center"/>
        <w:rPr>
          <w:rFonts w:hint="default" w:ascii="仿宋_GB2312" w:hAnsi="微软雅黑" w:eastAsia="仿宋_GB2312"/>
          <w:color w:val="000000"/>
          <w:sz w:val="30"/>
          <w:szCs w:val="30"/>
          <w:lang w:val="en-US" w:eastAsia="zh-CN"/>
        </w:rPr>
      </w:pPr>
      <w:r>
        <w:rPr>
          <w:rFonts w:hint="eastAsia" w:ascii="仿宋_GB2312" w:hAnsi="微软雅黑" w:eastAsia="仿宋_GB2312"/>
          <w:color w:val="000000"/>
          <w:sz w:val="30"/>
          <w:szCs w:val="30"/>
        </w:rPr>
        <w:t>项目编号：汉中医（竞争性磋商）CG202</w:t>
      </w:r>
      <w:r>
        <w:rPr>
          <w:rFonts w:hint="eastAsia" w:ascii="仿宋_GB2312" w:hAnsi="微软雅黑" w:eastAsia="仿宋_GB2312"/>
          <w:color w:val="000000"/>
          <w:sz w:val="30"/>
          <w:szCs w:val="30"/>
          <w:lang w:val="en-US" w:eastAsia="zh-CN"/>
        </w:rPr>
        <w:t>50701</w:t>
      </w:r>
    </w:p>
    <w:p w14:paraId="3D8BC1E3">
      <w:pPr>
        <w:widowControl/>
        <w:shd w:val="clear" w:color="auto" w:fill="FFFFFF"/>
        <w:tabs>
          <w:tab w:val="left" w:pos="0"/>
        </w:tabs>
        <w:snapToGrid/>
        <w:spacing w:line="560" w:lineRule="exact"/>
        <w:jc w:val="center"/>
        <w:rPr>
          <w:rFonts w:ascii="Arial" w:hAnsi="Arial" w:cs="Arial"/>
          <w:b/>
          <w:color w:val="000000"/>
          <w:sz w:val="44"/>
          <w:szCs w:val="44"/>
        </w:rPr>
      </w:pPr>
    </w:p>
    <w:p w14:paraId="3E5C620B">
      <w:pPr>
        <w:pStyle w:val="7"/>
        <w:tabs>
          <w:tab w:val="left" w:pos="0"/>
        </w:tabs>
        <w:snapToGrid/>
        <w:spacing w:line="560" w:lineRule="exact"/>
        <w:rPr>
          <w:color w:val="000000"/>
        </w:rPr>
      </w:pPr>
    </w:p>
    <w:p w14:paraId="1C978D1D">
      <w:pPr>
        <w:tabs>
          <w:tab w:val="left" w:pos="0"/>
        </w:tabs>
        <w:snapToGrid/>
        <w:spacing w:line="560" w:lineRule="exact"/>
        <w:ind w:firstLine="3242" w:firstLineChars="900"/>
        <w:rPr>
          <w:color w:val="000000"/>
        </w:rPr>
      </w:pPr>
      <w:r>
        <w:rPr>
          <w:b/>
          <w:sz w:val="36"/>
        </w:rPr>
        <w:t>（服务类）</w:t>
      </w:r>
    </w:p>
    <w:p w14:paraId="0A9299A1">
      <w:pPr>
        <w:pStyle w:val="7"/>
        <w:tabs>
          <w:tab w:val="left" w:pos="0"/>
        </w:tabs>
        <w:snapToGrid/>
        <w:spacing w:line="560" w:lineRule="exact"/>
        <w:jc w:val="center"/>
        <w:rPr>
          <w:rFonts w:hint="eastAsia" w:ascii="Arial" w:hAnsi="Arial" w:cs="Arial"/>
          <w:b/>
          <w:color w:val="000000"/>
          <w:sz w:val="32"/>
          <w:szCs w:val="32"/>
        </w:rPr>
      </w:pPr>
    </w:p>
    <w:p w14:paraId="6F9D6B59">
      <w:pPr>
        <w:pStyle w:val="7"/>
        <w:tabs>
          <w:tab w:val="left" w:pos="0"/>
        </w:tabs>
        <w:snapToGrid/>
        <w:spacing w:line="560" w:lineRule="exact"/>
        <w:jc w:val="center"/>
        <w:rPr>
          <w:rFonts w:hint="eastAsia" w:ascii="Arial" w:hAnsi="Arial" w:cs="Arial"/>
          <w:b/>
          <w:color w:val="000000"/>
          <w:sz w:val="32"/>
          <w:szCs w:val="32"/>
        </w:rPr>
      </w:pPr>
    </w:p>
    <w:p w14:paraId="4F6C1936">
      <w:pPr>
        <w:pStyle w:val="7"/>
        <w:tabs>
          <w:tab w:val="left" w:pos="0"/>
        </w:tabs>
        <w:snapToGrid/>
        <w:spacing w:line="560" w:lineRule="exact"/>
        <w:jc w:val="center"/>
        <w:rPr>
          <w:rFonts w:hint="eastAsia" w:ascii="Arial" w:hAnsi="Arial" w:cs="Arial"/>
          <w:b/>
          <w:color w:val="000000"/>
          <w:sz w:val="32"/>
          <w:szCs w:val="32"/>
        </w:rPr>
      </w:pPr>
    </w:p>
    <w:p w14:paraId="53685135">
      <w:pPr>
        <w:pStyle w:val="7"/>
        <w:tabs>
          <w:tab w:val="left" w:pos="0"/>
        </w:tabs>
        <w:snapToGrid/>
        <w:spacing w:line="560" w:lineRule="exact"/>
        <w:jc w:val="center"/>
        <w:rPr>
          <w:rFonts w:ascii="Arial" w:hAnsi="Arial" w:cs="Arial"/>
          <w:b/>
          <w:color w:val="000000"/>
          <w:sz w:val="32"/>
          <w:szCs w:val="32"/>
        </w:rPr>
      </w:pPr>
      <w:r>
        <w:rPr>
          <w:rFonts w:hint="eastAsia" w:ascii="Arial" w:hAnsi="Arial" w:cs="Arial"/>
          <w:b/>
          <w:color w:val="000000"/>
          <w:sz w:val="32"/>
          <w:szCs w:val="32"/>
        </w:rPr>
        <w:t>汉源县中医医院编制</w:t>
      </w:r>
    </w:p>
    <w:p w14:paraId="72DF2E1F">
      <w:pPr>
        <w:tabs>
          <w:tab w:val="left" w:pos="0"/>
        </w:tabs>
        <w:snapToGrid/>
        <w:spacing w:line="560" w:lineRule="exact"/>
        <w:jc w:val="center"/>
        <w:rPr>
          <w:b/>
          <w:color w:val="000000"/>
          <w:sz w:val="32"/>
          <w:szCs w:val="32"/>
        </w:rPr>
      </w:pPr>
      <w:r>
        <w:rPr>
          <w:rFonts w:hint="eastAsia"/>
          <w:b/>
          <w:color w:val="000000"/>
          <w:sz w:val="32"/>
          <w:szCs w:val="32"/>
        </w:rPr>
        <w:t>202</w:t>
      </w:r>
      <w:r>
        <w:rPr>
          <w:rFonts w:hint="eastAsia"/>
          <w:b/>
          <w:color w:val="000000"/>
          <w:sz w:val="32"/>
          <w:szCs w:val="32"/>
          <w:lang w:val="en-US" w:eastAsia="zh-CN"/>
        </w:rPr>
        <w:t>5</w:t>
      </w:r>
      <w:r>
        <w:rPr>
          <w:rFonts w:hint="eastAsia"/>
          <w:b/>
          <w:color w:val="000000"/>
          <w:sz w:val="32"/>
          <w:szCs w:val="32"/>
        </w:rPr>
        <w:t>年</w:t>
      </w:r>
      <w:r>
        <w:rPr>
          <w:rFonts w:hint="eastAsia"/>
          <w:b/>
          <w:color w:val="000000"/>
          <w:sz w:val="32"/>
          <w:szCs w:val="32"/>
          <w:lang w:val="en-US" w:eastAsia="zh-CN"/>
        </w:rPr>
        <w:t>07</w:t>
      </w:r>
      <w:r>
        <w:rPr>
          <w:rFonts w:hint="eastAsia"/>
          <w:b/>
          <w:color w:val="000000"/>
          <w:sz w:val="32"/>
          <w:szCs w:val="32"/>
        </w:rPr>
        <w:t>月</w:t>
      </w:r>
    </w:p>
    <w:p w14:paraId="0BD89CE9">
      <w:pPr>
        <w:pStyle w:val="37"/>
        <w:numPr>
          <w:ilvl w:val="0"/>
          <w:numId w:val="0"/>
        </w:numPr>
        <w:jc w:val="center"/>
        <w:outlineLvl w:val="9"/>
        <w:rPr>
          <w:rFonts w:hint="eastAsia" w:ascii="方正小标宋简体" w:hAnsi="黑体" w:eastAsia="方正小标宋简体" w:cs="黑体"/>
          <w:b w:val="0"/>
          <w:bCs/>
          <w:sz w:val="44"/>
          <w:szCs w:val="44"/>
        </w:rPr>
      </w:pPr>
    </w:p>
    <w:p w14:paraId="24BD5BCE">
      <w:pPr>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bCs/>
          <w:color w:val="auto"/>
          <w:sz w:val="36"/>
          <w:szCs w:val="36"/>
          <w:highlight w:val="none"/>
        </w:rPr>
        <w:t>目 录</w:t>
      </w:r>
    </w:p>
    <w:p w14:paraId="7DEA862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TOC \o "1-1" \h \u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_Toc21465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第一章  磋商邀请</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_Toc21465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0E2BD7F5">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_Toc28513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第二章  磋商须知</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_Toc28513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5</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371ADCA5">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_Toc6958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第三章  供应商</w:t>
      </w:r>
      <w:r>
        <w:rPr>
          <w:rFonts w:hint="eastAsia" w:ascii="仿宋" w:hAnsi="仿宋" w:eastAsia="仿宋" w:cs="仿宋"/>
          <w:color w:val="auto"/>
          <w:szCs w:val="24"/>
          <w:highlight w:val="none"/>
          <w:lang w:val="zh-CN"/>
        </w:rPr>
        <w:t>和</w:t>
      </w:r>
      <w:r>
        <w:rPr>
          <w:rFonts w:hint="eastAsia" w:ascii="仿宋" w:hAnsi="仿宋" w:eastAsia="仿宋" w:cs="仿宋"/>
          <w:color w:val="auto"/>
          <w:szCs w:val="24"/>
          <w:highlight w:val="none"/>
        </w:rPr>
        <w:t>报价</w:t>
      </w:r>
      <w:r>
        <w:rPr>
          <w:rFonts w:hint="eastAsia" w:ascii="仿宋" w:hAnsi="仿宋" w:eastAsia="仿宋" w:cs="仿宋"/>
          <w:color w:val="auto"/>
          <w:szCs w:val="24"/>
          <w:highlight w:val="none"/>
          <w:lang w:val="zh-CN"/>
        </w:rPr>
        <w:t>产品的资格、资质性及其他类似效力要求</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_Toc6958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20</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67AFC7E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_Toc6787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第四章 供应商</w:t>
      </w:r>
      <w:r>
        <w:rPr>
          <w:rFonts w:hint="eastAsia" w:ascii="仿宋" w:hAnsi="仿宋" w:eastAsia="仿宋" w:cs="仿宋"/>
          <w:color w:val="auto"/>
          <w:szCs w:val="24"/>
          <w:highlight w:val="none"/>
          <w:lang w:val="zh-CN"/>
        </w:rPr>
        <w:t>和</w:t>
      </w:r>
      <w:r>
        <w:rPr>
          <w:rFonts w:hint="eastAsia" w:ascii="仿宋" w:hAnsi="仿宋" w:eastAsia="仿宋" w:cs="仿宋"/>
          <w:color w:val="auto"/>
          <w:szCs w:val="24"/>
          <w:highlight w:val="none"/>
        </w:rPr>
        <w:t>报价</w:t>
      </w:r>
      <w:r>
        <w:rPr>
          <w:rFonts w:hint="eastAsia" w:ascii="仿宋" w:hAnsi="仿宋" w:eastAsia="仿宋" w:cs="仿宋"/>
          <w:color w:val="auto"/>
          <w:szCs w:val="24"/>
          <w:highlight w:val="none"/>
          <w:lang w:val="zh-CN"/>
        </w:rPr>
        <w:t>产品应当提供的资格、资质性及其他类似效力要求的相关证明材料</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_Toc6787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21</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0DB7514B">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_Toc23170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第五章  采购项目技术、服务、商务及其他要求</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_Toc23170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21</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26C4BAC9">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_Toc19969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第六章  磋商内容、磋商过程中可实质性变动的内容</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_Toc19969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30</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228800C">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_Toc20677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第七章  响应文件格式</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_Toc20677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31</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290926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_Toc2467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第八章  评审方法</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_Toc2467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32</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8D0DCC2">
      <w:pPr>
        <w:snapToGrid w:val="0"/>
        <w:spacing w:line="48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end"/>
      </w:r>
    </w:p>
    <w:p w14:paraId="7045C29D">
      <w:pPr>
        <w:snapToGrid w:val="0"/>
        <w:spacing w:line="312" w:lineRule="auto"/>
        <w:rPr>
          <w:rFonts w:hint="eastAsia" w:ascii="仿宋" w:hAnsi="仿宋" w:eastAsia="仿宋" w:cs="仿宋"/>
          <w:color w:val="auto"/>
          <w:highlight w:val="none"/>
        </w:rPr>
      </w:pPr>
    </w:p>
    <w:p w14:paraId="3A5F1180">
      <w:pPr>
        <w:snapToGrid w:val="0"/>
        <w:spacing w:line="312" w:lineRule="auto"/>
        <w:ind w:firstLine="480" w:firstLineChars="200"/>
        <w:rPr>
          <w:rFonts w:hint="eastAsia" w:ascii="仿宋" w:hAnsi="仿宋" w:eastAsia="仿宋" w:cs="仿宋"/>
          <w:bCs/>
          <w:color w:val="auto"/>
          <w:sz w:val="24"/>
          <w:highlight w:val="none"/>
        </w:rPr>
      </w:pPr>
    </w:p>
    <w:p w14:paraId="469EF473">
      <w:pPr>
        <w:snapToGrid w:val="0"/>
        <w:spacing w:line="312" w:lineRule="auto"/>
        <w:ind w:firstLine="480" w:firstLineChars="200"/>
        <w:rPr>
          <w:rFonts w:hint="eastAsia" w:ascii="仿宋" w:hAnsi="仿宋" w:eastAsia="仿宋" w:cs="仿宋"/>
          <w:bCs/>
          <w:color w:val="auto"/>
          <w:sz w:val="24"/>
          <w:highlight w:val="none"/>
        </w:rPr>
      </w:pPr>
    </w:p>
    <w:p w14:paraId="1C73A334">
      <w:pPr>
        <w:pStyle w:val="23"/>
        <w:snapToGrid w:val="0"/>
        <w:spacing w:line="312" w:lineRule="auto"/>
        <w:rPr>
          <w:rFonts w:ascii="仿宋" w:hAnsi="仿宋" w:eastAsia="仿宋" w:cs="仿宋"/>
          <w:color w:val="auto"/>
          <w:highlight w:val="none"/>
        </w:rPr>
      </w:pPr>
    </w:p>
    <w:p w14:paraId="336E96D3">
      <w:pPr>
        <w:widowControl/>
        <w:snapToGrid w:val="0"/>
        <w:spacing w:line="312" w:lineRule="auto"/>
        <w:jc w:val="left"/>
        <w:rPr>
          <w:rFonts w:hint="eastAsia" w:ascii="仿宋" w:hAnsi="仿宋" w:eastAsia="仿宋" w:cs="仿宋"/>
          <w:b/>
          <w:bCs/>
          <w:color w:val="auto"/>
          <w:kern w:val="44"/>
          <w:sz w:val="36"/>
          <w:szCs w:val="36"/>
          <w:highlight w:val="none"/>
        </w:rPr>
      </w:pPr>
    </w:p>
    <w:p w14:paraId="29ED8064">
      <w:pPr>
        <w:pStyle w:val="2"/>
        <w:pageBreakBefore/>
        <w:snapToGrid w:val="0"/>
        <w:spacing w:before="0" w:after="0" w:line="312" w:lineRule="auto"/>
        <w:jc w:val="center"/>
        <w:rPr>
          <w:rFonts w:hint="eastAsia" w:ascii="仿宋" w:hAnsi="仿宋" w:eastAsia="仿宋" w:cs="仿宋"/>
          <w:color w:val="auto"/>
          <w:sz w:val="36"/>
          <w:szCs w:val="36"/>
          <w:highlight w:val="none"/>
        </w:rPr>
        <w:sectPr>
          <w:headerReference r:id="rId3" w:type="default"/>
          <w:pgSz w:w="11849" w:h="16781"/>
          <w:pgMar w:top="1440" w:right="1417" w:bottom="1440" w:left="1474" w:header="850" w:footer="992" w:gutter="0"/>
          <w:pgNumType w:start="1"/>
          <w:cols w:space="720" w:num="1"/>
          <w:docGrid w:linePitch="312" w:charSpace="0"/>
        </w:sectPr>
      </w:pPr>
      <w:bookmarkStart w:id="2" w:name="_Toc36562442"/>
      <w:bookmarkStart w:id="3" w:name="_Toc31471"/>
    </w:p>
    <w:p w14:paraId="6A2B65C2">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4" w:name="_Toc21465"/>
      <w:r>
        <w:rPr>
          <w:rFonts w:hint="eastAsia" w:ascii="仿宋" w:hAnsi="仿宋" w:eastAsia="仿宋" w:cs="仿宋"/>
          <w:color w:val="auto"/>
          <w:sz w:val="36"/>
          <w:szCs w:val="36"/>
          <w:highlight w:val="none"/>
        </w:rPr>
        <w:t>第一章  磋商邀请</w:t>
      </w:r>
      <w:bookmarkEnd w:id="2"/>
      <w:bookmarkEnd w:id="3"/>
      <w:bookmarkEnd w:id="4"/>
    </w:p>
    <w:p w14:paraId="796EE7EF">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汉源县中医医院</w:t>
      </w:r>
      <w:r>
        <w:rPr>
          <w:rFonts w:hint="eastAsia" w:ascii="仿宋" w:hAnsi="仿宋" w:eastAsia="仿宋" w:cs="仿宋"/>
          <w:color w:val="auto"/>
          <w:sz w:val="24"/>
          <w:highlight w:val="none"/>
        </w:rPr>
        <w:t>委托，拟对</w:t>
      </w:r>
      <w:r>
        <w:rPr>
          <w:rFonts w:hint="eastAsia" w:ascii="仿宋" w:hAnsi="仿宋" w:eastAsia="仿宋" w:cs="仿宋"/>
          <w:color w:val="auto"/>
          <w:sz w:val="24"/>
          <w:highlight w:val="none"/>
          <w:u w:val="single"/>
        </w:rPr>
        <w:t>汉源县中医医院</w:t>
      </w:r>
      <w:r>
        <w:rPr>
          <w:rFonts w:hint="eastAsia" w:ascii="仿宋" w:hAnsi="仿宋" w:eastAsia="仿宋" w:cs="仿宋"/>
          <w:color w:val="auto"/>
          <w:sz w:val="24"/>
          <w:highlight w:val="none"/>
          <w:u w:val="single"/>
          <w:lang w:eastAsia="zh-CN"/>
        </w:rPr>
        <w:t>检验病理外送、远程会诊服务</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eastAsia="zh-CN"/>
        </w:rPr>
        <w:t>（三次</w:t>
      </w:r>
      <w:bookmarkStart w:id="188" w:name="_GoBack"/>
      <w:bookmarkEnd w:id="188"/>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采用竞争性磋商方式进行采购，特邀请符合本次采购要求的供应商参加本项目的竞争性磋商。</w:t>
      </w:r>
    </w:p>
    <w:p w14:paraId="24EB2135">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一、采购项目基本情况</w:t>
      </w:r>
    </w:p>
    <w:p w14:paraId="0C0BC5FC">
      <w:pPr>
        <w:snapToGrid w:val="0"/>
        <w:spacing w:line="312" w:lineRule="auto"/>
        <w:ind w:firstLine="480" w:firstLineChars="200"/>
        <w:rPr>
          <w:rFonts w:hint="eastAsia" w:ascii="仿宋" w:hAnsi="仿宋" w:eastAsia="仿宋" w:cs="仿宋"/>
          <w:bCs/>
          <w:color w:val="auto"/>
          <w:kern w:val="0"/>
          <w:sz w:val="24"/>
          <w:highlight w:val="none"/>
          <w:u w:val="single"/>
          <w:lang w:val="en-US" w:eastAsia="zh-CN"/>
        </w:rPr>
      </w:pPr>
      <w:bookmarkStart w:id="5" w:name="_Toc213396945"/>
      <w:bookmarkStart w:id="6" w:name="_Toc213397009"/>
      <w:bookmarkStart w:id="7" w:name="_Toc36562443"/>
      <w:bookmarkStart w:id="8" w:name="_Toc213496267"/>
      <w:bookmarkStart w:id="9" w:name="_Toc217446031"/>
      <w:bookmarkStart w:id="10" w:name="_Toc213396759"/>
      <w:r>
        <w:rPr>
          <w:rFonts w:hint="eastAsia" w:ascii="仿宋" w:hAnsi="仿宋" w:eastAsia="仿宋" w:cs="仿宋"/>
          <w:bCs/>
          <w:color w:val="auto"/>
          <w:kern w:val="0"/>
          <w:sz w:val="24"/>
          <w:highlight w:val="none"/>
        </w:rPr>
        <w:t>1</w:t>
      </w:r>
      <w:r>
        <w:rPr>
          <w:rFonts w:hint="eastAsia" w:ascii="仿宋" w:hAnsi="仿宋" w:eastAsia="仿宋" w:cs="仿宋"/>
          <w:bCs/>
          <w:color w:val="auto"/>
          <w:kern w:val="0"/>
          <w:sz w:val="24"/>
          <w:highlight w:val="none"/>
          <w:lang w:val="en-US" w:eastAsia="zh-CN"/>
        </w:rPr>
        <w:t>.</w:t>
      </w:r>
      <w:r>
        <w:rPr>
          <w:rFonts w:hint="eastAsia" w:ascii="仿宋" w:hAnsi="仿宋" w:eastAsia="仿宋" w:cs="仿宋"/>
          <w:bCs/>
          <w:color w:val="auto"/>
          <w:kern w:val="0"/>
          <w:sz w:val="24"/>
          <w:highlight w:val="none"/>
        </w:rPr>
        <w:t>采购项目编号：</w:t>
      </w:r>
      <w:r>
        <w:rPr>
          <w:rFonts w:hint="eastAsia" w:ascii="仿宋" w:hAnsi="仿宋" w:eastAsia="仿宋" w:cs="仿宋"/>
          <w:bCs/>
          <w:color w:val="auto"/>
          <w:kern w:val="0"/>
          <w:sz w:val="24"/>
          <w:highlight w:val="none"/>
          <w:u w:val="single"/>
          <w:lang w:eastAsia="zh-CN"/>
        </w:rPr>
        <w:t>汉中医（竞争性磋商）CG20250</w:t>
      </w:r>
      <w:r>
        <w:rPr>
          <w:rFonts w:hint="eastAsia" w:ascii="仿宋" w:hAnsi="仿宋" w:eastAsia="仿宋" w:cs="仿宋"/>
          <w:bCs/>
          <w:color w:val="auto"/>
          <w:kern w:val="0"/>
          <w:sz w:val="24"/>
          <w:highlight w:val="none"/>
          <w:u w:val="single"/>
          <w:lang w:val="en-US" w:eastAsia="zh-CN"/>
        </w:rPr>
        <w:t>701</w:t>
      </w:r>
    </w:p>
    <w:p w14:paraId="3495D40B">
      <w:pPr>
        <w:snapToGrid w:val="0"/>
        <w:spacing w:line="312"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eastAsia="zh-CN"/>
        </w:rPr>
        <w:t>汉源县中医医院检验病理外送、远程会诊服务项目（三次）</w:t>
      </w:r>
    </w:p>
    <w:p w14:paraId="09F382FB">
      <w:pPr>
        <w:snapToGrid w:val="0"/>
        <w:spacing w:line="312"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single"/>
        </w:rPr>
        <w:t>汉源县中医医院</w:t>
      </w:r>
    </w:p>
    <w:p w14:paraId="70A4AA25">
      <w:pPr>
        <w:pStyle w:val="19"/>
        <w:numPr>
          <w:ilvl w:val="0"/>
          <w:numId w:val="0"/>
        </w:numPr>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二、预算资金：</w:t>
      </w:r>
    </w:p>
    <w:p w14:paraId="4AD0B215">
      <w:pPr>
        <w:pStyle w:val="19"/>
        <w:numPr>
          <w:ilvl w:val="0"/>
          <w:numId w:val="0"/>
        </w:numPr>
        <w:ind w:leftChars="200" w:firstLine="480" w:firstLineChars="200"/>
        <w:rPr>
          <w:rFonts w:hint="eastAsia" w:ascii="宋体" w:hAnsi="宋体"/>
          <w:sz w:val="24"/>
          <w:szCs w:val="20"/>
          <w:lang w:val="en-US" w:eastAsia="zh-CN"/>
        </w:rPr>
      </w:pPr>
      <w:r>
        <w:rPr>
          <w:rFonts w:hint="eastAsia" w:ascii="宋体" w:hAnsi="宋体"/>
          <w:sz w:val="24"/>
          <w:szCs w:val="20"/>
          <w:lang w:eastAsia="zh-CN"/>
        </w:rPr>
        <w:t>包</w:t>
      </w:r>
      <w:r>
        <w:rPr>
          <w:rFonts w:hint="eastAsia" w:ascii="宋体" w:hAnsi="宋体"/>
          <w:sz w:val="24"/>
          <w:szCs w:val="20"/>
          <w:lang w:val="en-US" w:eastAsia="zh-CN"/>
        </w:rPr>
        <w:t>1:215550.00元</w:t>
      </w:r>
    </w:p>
    <w:p w14:paraId="2F2F6A58">
      <w:pPr>
        <w:pStyle w:val="19"/>
        <w:numPr>
          <w:ilvl w:val="0"/>
          <w:numId w:val="0"/>
        </w:numPr>
        <w:ind w:leftChars="200" w:firstLine="480" w:firstLineChars="200"/>
        <w:rPr>
          <w:rFonts w:hint="eastAsia" w:ascii="宋体" w:hAnsi="宋体"/>
          <w:sz w:val="24"/>
          <w:szCs w:val="20"/>
          <w:lang w:val="en-US" w:eastAsia="zh-CN"/>
        </w:rPr>
      </w:pPr>
      <w:r>
        <w:rPr>
          <w:rFonts w:hint="eastAsia" w:ascii="宋体" w:hAnsi="宋体"/>
          <w:sz w:val="24"/>
          <w:szCs w:val="20"/>
          <w:lang w:val="en-US" w:eastAsia="zh-CN"/>
        </w:rPr>
        <w:t>包2:20000.00元</w:t>
      </w:r>
    </w:p>
    <w:p w14:paraId="256995FF">
      <w:pPr>
        <w:snapToGrid w:val="0"/>
        <w:spacing w:line="312" w:lineRule="auto"/>
        <w:ind w:left="479" w:leftChars="228"/>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三、采购项目简介：</w:t>
      </w:r>
    </w:p>
    <w:p w14:paraId="36230D6E">
      <w:pPr>
        <w:pStyle w:val="23"/>
        <w:snapToGrid w:val="0"/>
        <w:spacing w:line="312" w:lineRule="auto"/>
        <w:ind w:firstLine="480" w:firstLineChars="200"/>
        <w:rPr>
          <w:rFonts w:ascii="仿宋" w:hAnsi="仿宋" w:eastAsia="仿宋" w:cs="仿宋"/>
          <w:color w:val="auto"/>
          <w:szCs w:val="28"/>
          <w:highlight w:val="none"/>
        </w:rPr>
      </w:pPr>
      <w:r>
        <w:rPr>
          <w:rFonts w:ascii="仿宋" w:hAnsi="仿宋" w:eastAsia="仿宋" w:cs="仿宋"/>
          <w:color w:val="auto"/>
          <w:szCs w:val="28"/>
          <w:highlight w:val="none"/>
        </w:rPr>
        <w:t>汉源县中医医院拟选取</w:t>
      </w:r>
      <w:r>
        <w:rPr>
          <w:rFonts w:hint="eastAsia" w:ascii="仿宋" w:hAnsi="仿宋" w:eastAsia="仿宋" w:cs="仿宋"/>
          <w:color w:val="auto"/>
          <w:szCs w:val="28"/>
          <w:highlight w:val="none"/>
          <w:lang w:eastAsia="zh-CN"/>
        </w:rPr>
        <w:t>检验病理外送、远程会诊服务供应商，为医院提供病理外送检验、远程会诊服务，本项目共</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lang w:eastAsia="zh-CN"/>
        </w:rPr>
        <w:t>个包。（详见磋商文件第五章）</w:t>
      </w:r>
      <w:r>
        <w:rPr>
          <w:rFonts w:ascii="仿宋" w:hAnsi="仿宋" w:eastAsia="仿宋" w:cs="仿宋"/>
          <w:color w:val="auto"/>
          <w:szCs w:val="28"/>
          <w:highlight w:val="none"/>
        </w:rPr>
        <w:t>。</w:t>
      </w:r>
    </w:p>
    <w:p w14:paraId="71EEDFCB">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供应商邀请方式</w:t>
      </w:r>
    </w:p>
    <w:p w14:paraId="37E03927">
      <w:pPr>
        <w:wordWrap w:val="0"/>
        <w:snapToGrid w:val="0"/>
        <w:spacing w:line="312"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本次竞争性磋商邀请在</w:t>
      </w:r>
      <w:r>
        <w:rPr>
          <w:rFonts w:hint="eastAsia" w:ascii="仿宋" w:hAnsi="仿宋" w:eastAsia="仿宋" w:cs="仿宋"/>
          <w:bCs/>
          <w:color w:val="auto"/>
          <w:sz w:val="24"/>
          <w:highlight w:val="none"/>
          <w:lang w:eastAsia="zh-CN"/>
        </w:rPr>
        <w:t>汉源县中医医院官网（https://www.hyxzyy.cn/）</w:t>
      </w:r>
      <w:r>
        <w:rPr>
          <w:rFonts w:hint="eastAsia" w:ascii="仿宋" w:hAnsi="仿宋" w:eastAsia="仿宋" w:cs="仿宋"/>
          <w:bCs/>
          <w:color w:val="auto"/>
          <w:sz w:val="24"/>
          <w:highlight w:val="none"/>
        </w:rPr>
        <w:t>上以公告形式发布。</w:t>
      </w:r>
    </w:p>
    <w:p w14:paraId="247CA1FA">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五、供应商参加本次政府采购活动应具备下列条件：</w:t>
      </w:r>
    </w:p>
    <w:p w14:paraId="331C6602">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（一）满足《中华人民共和国政府采购法》第二十二条规定：</w:t>
      </w:r>
    </w:p>
    <w:p w14:paraId="63A9D8C5">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具有独立承担民事责任的能力；</w:t>
      </w:r>
    </w:p>
    <w:p w14:paraId="29C1A481">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具有良好的商业信誉和健全的财务会计制度；</w:t>
      </w:r>
    </w:p>
    <w:p w14:paraId="2E9AB21C">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具有履行合同所必需的设备和专业技术能力；</w:t>
      </w:r>
    </w:p>
    <w:p w14:paraId="346F35F8">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有依法缴纳税收和社会保障资金的良好记录；</w:t>
      </w:r>
    </w:p>
    <w:p w14:paraId="2C56D6B2">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参加采购活动前三年内，在经营活动中没有重大违法记录；</w:t>
      </w:r>
    </w:p>
    <w:p w14:paraId="5FFBB087">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法律、行政法规规定的其他条件。</w:t>
      </w:r>
    </w:p>
    <w:p w14:paraId="6FC36709">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（二）落实政府采购政策需满足的资格要求：无。</w:t>
      </w:r>
    </w:p>
    <w:p w14:paraId="67AB6DDE">
      <w:pPr>
        <w:wordWrap w:val="0"/>
        <w:snapToGrid w:val="0"/>
        <w:spacing w:line="312"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（三）本项目的特定资格要求：</w:t>
      </w:r>
      <w:r>
        <w:rPr>
          <w:rFonts w:hint="eastAsia" w:ascii="仿宋" w:hAnsi="仿宋" w:eastAsia="仿宋" w:cs="仿宋"/>
          <w:bCs/>
          <w:color w:val="auto"/>
          <w:sz w:val="24"/>
          <w:highlight w:val="none"/>
          <w:lang w:eastAsia="zh-CN"/>
        </w:rPr>
        <w:t>无</w:t>
      </w:r>
    </w:p>
    <w:p w14:paraId="2E5D30BC">
      <w:pPr>
        <w:wordWrap w:val="0"/>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六、禁止参加本次采购活动的供应商</w:t>
      </w:r>
    </w:p>
    <w:p w14:paraId="673EFAEF">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根据《关于在政府采购活动中查询及</w:t>
      </w:r>
      <w:r>
        <w:rPr>
          <w:rFonts w:hint="eastAsia" w:ascii="仿宋" w:hAnsi="仿宋" w:eastAsia="仿宋" w:cs="仿宋"/>
          <w:color w:val="auto"/>
          <w:sz w:val="24"/>
          <w:highlight w:val="none"/>
        </w:rPr>
        <w:t>使用信用记录有关问题的通知》（财库〔2016〕125号）的要求，采购人将通过“信用中国”网站（www.creditchina.gov.cn）、“中国政府采购网”网站（www.ccgp.gov.cn）等渠道查询供应商在递交响应文件截止时间前的信用记录并保存信用记录结果网页截图，拒绝列入失信被执行人名单、重大税收违法案件当事人名单、政府采购严重违法失信行为记录名单中的供应商参加本项目的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8AD25C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14:paraId="154293EE">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七、</w:t>
      </w:r>
      <w:r>
        <w:rPr>
          <w:rFonts w:hint="eastAsia" w:ascii="仿宋" w:hAnsi="仿宋" w:eastAsia="仿宋" w:cs="仿宋"/>
          <w:b/>
          <w:bCs/>
          <w:color w:val="auto"/>
          <w:sz w:val="24"/>
          <w:highlight w:val="none"/>
        </w:rPr>
        <w:t>获取磋商文件的方式：</w:t>
      </w:r>
    </w:p>
    <w:p w14:paraId="2358EE87">
      <w:pPr>
        <w:pStyle w:val="38"/>
        <w:spacing w:line="560" w:lineRule="exact"/>
        <w:ind w:firstLine="480" w:firstLineChars="200"/>
        <w:rPr>
          <w:rFonts w:hint="eastAsia" w:ascii="仿宋" w:hAnsi="仿宋" w:eastAsia="仿宋" w:cs="仿宋"/>
          <w:snapToGrid/>
          <w:color w:val="auto"/>
          <w:kern w:val="2"/>
          <w:sz w:val="24"/>
          <w:szCs w:val="22"/>
          <w:highlight w:val="none"/>
          <w:lang w:val="en-US" w:eastAsia="zh-CN" w:bidi="ar-SA"/>
        </w:rPr>
      </w:pPr>
      <w:bookmarkStart w:id="11" w:name="_Toc8065"/>
      <w:r>
        <w:rPr>
          <w:rFonts w:hint="eastAsia" w:ascii="仿宋" w:hAnsi="仿宋" w:eastAsia="仿宋" w:cs="仿宋"/>
          <w:snapToGrid/>
          <w:color w:val="auto"/>
          <w:kern w:val="2"/>
          <w:sz w:val="24"/>
          <w:szCs w:val="22"/>
          <w:highlight w:val="none"/>
          <w:lang w:val="en-US" w:eastAsia="zh-CN" w:bidi="ar-SA"/>
        </w:rPr>
        <w:t>1.汉源县中医医院官网（https://www.hyxzyy.cn/）获取。</w:t>
      </w:r>
    </w:p>
    <w:p w14:paraId="5EDA1FB5">
      <w:pPr>
        <w:pStyle w:val="38"/>
        <w:spacing w:line="560" w:lineRule="exact"/>
        <w:ind w:firstLine="480" w:firstLineChars="200"/>
        <w:rPr>
          <w:rFonts w:hint="eastAsia" w:ascii="仿宋" w:hAnsi="仿宋" w:eastAsia="仿宋" w:cs="仿宋"/>
          <w:snapToGrid/>
          <w:color w:val="auto"/>
          <w:kern w:val="2"/>
          <w:sz w:val="24"/>
          <w:szCs w:val="22"/>
          <w:highlight w:val="none"/>
          <w:lang w:val="zh-CN" w:eastAsia="zh-CN" w:bidi="ar-SA"/>
        </w:rPr>
      </w:pPr>
      <w:r>
        <w:rPr>
          <w:rFonts w:hint="eastAsia" w:ascii="仿宋" w:hAnsi="仿宋" w:eastAsia="仿宋" w:cs="仿宋"/>
          <w:snapToGrid/>
          <w:color w:val="auto"/>
          <w:kern w:val="2"/>
          <w:sz w:val="24"/>
          <w:szCs w:val="22"/>
          <w:highlight w:val="none"/>
          <w:lang w:val="en-US" w:eastAsia="zh-CN" w:bidi="ar-SA"/>
        </w:rPr>
        <w:t>2.报名咨询电话：19934051614</w:t>
      </w:r>
    </w:p>
    <w:p w14:paraId="3A8D0925">
      <w:pPr>
        <w:pStyle w:val="38"/>
        <w:spacing w:line="56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供应商获取采购文件时须如实认真填写项目信息及供应商信息；若因供应商提供的错误信息，对其投标事宜造成影响的，由供应商自行承担所有责任(若供应商需变更报名信息，请拨打报名咨询电话：19934051614）。</w:t>
      </w:r>
    </w:p>
    <w:p w14:paraId="00BDA0ED">
      <w:pPr>
        <w:pStyle w:val="39"/>
        <w:numPr>
          <w:ilvl w:val="0"/>
          <w:numId w:val="0"/>
        </w:numPr>
        <w:spacing w:line="560" w:lineRule="exact"/>
        <w:ind w:firstLine="482"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b/>
          <w:bCs/>
          <w:color w:val="auto"/>
          <w:kern w:val="2"/>
          <w:sz w:val="24"/>
          <w:szCs w:val="22"/>
          <w:highlight w:val="none"/>
          <w:lang w:val="en-US" w:eastAsia="zh-CN" w:bidi="ar-SA"/>
        </w:rPr>
        <w:t>八、报名方式：</w:t>
      </w:r>
      <w:r>
        <w:rPr>
          <w:rFonts w:hint="eastAsia" w:ascii="仿宋" w:hAnsi="仿宋" w:eastAsia="仿宋" w:cs="仿宋"/>
          <w:snapToGrid/>
          <w:color w:val="auto"/>
          <w:kern w:val="2"/>
          <w:sz w:val="24"/>
          <w:szCs w:val="22"/>
          <w:highlight w:val="none"/>
          <w:lang w:val="en-US" w:eastAsia="zh-CN" w:bidi="ar-SA"/>
        </w:rPr>
        <w:t>汉源县中医医院官网（https://www.hyxzyy.cn/）-电子招标报名平台。</w:t>
      </w:r>
    </w:p>
    <w:p w14:paraId="07050A22">
      <w:pPr>
        <w:pStyle w:val="38"/>
        <w:spacing w:line="560" w:lineRule="exact"/>
        <w:ind w:left="420" w:left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b/>
          <w:bCs/>
          <w:snapToGrid/>
          <w:color w:val="auto"/>
          <w:kern w:val="2"/>
          <w:sz w:val="24"/>
          <w:szCs w:val="22"/>
          <w:highlight w:val="none"/>
          <w:lang w:val="en-US" w:eastAsia="zh-CN" w:bidi="ar-SA"/>
        </w:rPr>
        <w:t>九、磋商时间</w:t>
      </w:r>
      <w:r>
        <w:rPr>
          <w:rFonts w:hint="eastAsia" w:ascii="等线" w:hAnsi="等线" w:eastAsia="等线" w:cs="Times New Roman"/>
          <w:b/>
          <w:bCs/>
          <w:snapToGrid/>
          <w:kern w:val="2"/>
          <w:sz w:val="21"/>
          <w:szCs w:val="22"/>
          <w:lang w:val="en-US" w:eastAsia="zh-CN" w:bidi="ar-SA"/>
        </w:rPr>
        <w:t>：</w:t>
      </w:r>
      <w:r>
        <w:rPr>
          <w:rFonts w:hint="eastAsia" w:ascii="仿宋" w:hAnsi="仿宋" w:eastAsia="仿宋" w:cs="仿宋"/>
          <w:snapToGrid/>
          <w:color w:val="auto"/>
          <w:kern w:val="2"/>
          <w:sz w:val="24"/>
          <w:szCs w:val="22"/>
          <w:highlight w:val="none"/>
          <w:lang w:val="en-US" w:eastAsia="zh-CN" w:bidi="ar-SA"/>
        </w:rPr>
        <w:t>2025年7月31日9时30分(北京时间)。</w:t>
      </w:r>
    </w:p>
    <w:p w14:paraId="297D85B8">
      <w:pPr>
        <w:pStyle w:val="38"/>
        <w:spacing w:line="520" w:lineRule="exact"/>
        <w:ind w:firstLine="482"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b/>
          <w:bCs/>
          <w:snapToGrid/>
          <w:color w:val="auto"/>
          <w:kern w:val="2"/>
          <w:sz w:val="24"/>
          <w:szCs w:val="22"/>
          <w:highlight w:val="none"/>
          <w:lang w:val="en-US" w:eastAsia="zh-CN" w:bidi="ar-SA"/>
        </w:rPr>
        <w:t>十、磋商地点：</w:t>
      </w:r>
      <w:r>
        <w:rPr>
          <w:rFonts w:hint="eastAsia" w:ascii="仿宋" w:hAnsi="仿宋" w:eastAsia="仿宋" w:cs="仿宋"/>
          <w:snapToGrid/>
          <w:color w:val="auto"/>
          <w:kern w:val="2"/>
          <w:sz w:val="24"/>
          <w:szCs w:val="22"/>
          <w:highlight w:val="none"/>
          <w:lang w:val="en-US" w:eastAsia="zh-CN" w:bidi="ar-SA"/>
        </w:rPr>
        <w:t>雅安市汉源县九襄镇交通南路88号汉源县中医医院门诊六楼学术厅。逾期送达、密封和标注错误的响应文件，概不接收。本次采购不接收邮寄的响应文件。</w:t>
      </w:r>
    </w:p>
    <w:p w14:paraId="0426C4E7">
      <w:pPr>
        <w:pStyle w:val="38"/>
        <w:spacing w:line="520" w:lineRule="exact"/>
        <w:ind w:firstLine="482" w:firstLineChars="200"/>
        <w:rPr>
          <w:rFonts w:hint="eastAsia" w:ascii="仿宋" w:hAnsi="仿宋" w:eastAsia="仿宋" w:cs="仿宋"/>
          <w:b/>
          <w:bCs/>
          <w:snapToGrid/>
          <w:color w:val="auto"/>
          <w:kern w:val="2"/>
          <w:sz w:val="24"/>
          <w:szCs w:val="22"/>
          <w:highlight w:val="none"/>
          <w:lang w:val="en-US" w:eastAsia="zh-CN" w:bidi="ar-SA"/>
        </w:rPr>
      </w:pPr>
      <w:r>
        <w:rPr>
          <w:rFonts w:hint="eastAsia" w:ascii="仿宋" w:hAnsi="仿宋" w:eastAsia="仿宋" w:cs="仿宋"/>
          <w:b/>
          <w:bCs/>
          <w:snapToGrid/>
          <w:color w:val="auto"/>
          <w:kern w:val="2"/>
          <w:sz w:val="24"/>
          <w:szCs w:val="22"/>
          <w:highlight w:val="none"/>
          <w:lang w:val="en-US" w:eastAsia="zh-CN" w:bidi="ar-SA"/>
        </w:rPr>
        <w:t>十一、采购信息发布媒体：“汉源县中医医院官方网站”。</w:t>
      </w:r>
    </w:p>
    <w:p w14:paraId="543F11AA">
      <w:pPr>
        <w:pStyle w:val="38"/>
        <w:spacing w:line="520" w:lineRule="exact"/>
        <w:ind w:firstLine="482" w:firstLineChars="200"/>
        <w:rPr>
          <w:rFonts w:hint="eastAsia" w:ascii="仿宋" w:hAnsi="仿宋" w:eastAsia="仿宋" w:cs="仿宋"/>
          <w:b/>
          <w:bCs/>
          <w:snapToGrid/>
          <w:color w:val="auto"/>
          <w:kern w:val="2"/>
          <w:sz w:val="24"/>
          <w:szCs w:val="22"/>
          <w:highlight w:val="none"/>
          <w:lang w:val="en-US" w:eastAsia="zh-CN" w:bidi="ar-SA"/>
        </w:rPr>
      </w:pPr>
      <w:r>
        <w:rPr>
          <w:rFonts w:hint="eastAsia" w:ascii="仿宋" w:hAnsi="仿宋" w:eastAsia="仿宋" w:cs="仿宋"/>
          <w:b/>
          <w:bCs/>
          <w:snapToGrid/>
          <w:color w:val="auto"/>
          <w:kern w:val="2"/>
          <w:sz w:val="24"/>
          <w:szCs w:val="22"/>
          <w:highlight w:val="none"/>
          <w:lang w:val="en-US" w:eastAsia="zh-CN" w:bidi="ar-SA"/>
        </w:rPr>
        <w:t>十二、询问联系方式：</w:t>
      </w:r>
    </w:p>
    <w:p w14:paraId="7FA349F0">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名称：汉源县中医医院</w:t>
      </w:r>
    </w:p>
    <w:p w14:paraId="1C7592CE">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地址：雅安市汉源县九襄镇交通南路88号</w:t>
      </w:r>
    </w:p>
    <w:p w14:paraId="1CD2E7C1">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联系人：廖老师</w:t>
      </w:r>
    </w:p>
    <w:p w14:paraId="64C07CEE">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联系方式：19934051614</w:t>
      </w:r>
    </w:p>
    <w:p w14:paraId="54587840">
      <w:pPr>
        <w:pStyle w:val="26"/>
        <w:snapToGrid w:val="0"/>
        <w:spacing w:line="312" w:lineRule="auto"/>
        <w:ind w:firstLine="480"/>
        <w:rPr>
          <w:rFonts w:hint="eastAsia" w:ascii="仿宋" w:hAnsi="仿宋" w:eastAsia="仿宋" w:cs="仿宋"/>
          <w:color w:val="auto"/>
          <w:sz w:val="24"/>
          <w:highlight w:val="none"/>
        </w:rPr>
      </w:pPr>
    </w:p>
    <w:p w14:paraId="1C76B0F8">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12" w:name="_Toc28513"/>
      <w:r>
        <w:rPr>
          <w:rFonts w:hint="eastAsia" w:ascii="仿宋" w:hAnsi="仿宋" w:eastAsia="仿宋" w:cs="仿宋"/>
          <w:color w:val="auto"/>
          <w:sz w:val="36"/>
          <w:szCs w:val="36"/>
          <w:highlight w:val="none"/>
        </w:rPr>
        <w:t>第二章  磋商须知</w:t>
      </w:r>
      <w:bookmarkEnd w:id="5"/>
      <w:bookmarkEnd w:id="6"/>
      <w:bookmarkEnd w:id="7"/>
      <w:bookmarkEnd w:id="8"/>
      <w:bookmarkEnd w:id="9"/>
      <w:bookmarkEnd w:id="10"/>
      <w:bookmarkEnd w:id="11"/>
      <w:bookmarkEnd w:id="12"/>
    </w:p>
    <w:p w14:paraId="077AA6C1">
      <w:pPr>
        <w:pStyle w:val="3"/>
        <w:keepNext w:val="0"/>
        <w:keepLines w:val="0"/>
        <w:adjustRightInd w:val="0"/>
        <w:snapToGrid w:val="0"/>
        <w:spacing w:before="0" w:after="0" w:line="312"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一、供应商须知附表</w:t>
      </w:r>
    </w:p>
    <w:tbl>
      <w:tblPr>
        <w:tblStyle w:val="20"/>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3"/>
        <w:gridCol w:w="2308"/>
        <w:gridCol w:w="5767"/>
      </w:tblGrid>
      <w:tr w14:paraId="0698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893" w:type="dxa"/>
            <w:noWrap w:val="0"/>
            <w:vAlign w:val="center"/>
          </w:tcPr>
          <w:p w14:paraId="2A504289">
            <w:pPr>
              <w:pStyle w:val="27"/>
              <w:snapToGrid w:val="0"/>
              <w:spacing w:line="312" w:lineRule="auto"/>
              <w:ind w:left="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序号</w:t>
            </w:r>
          </w:p>
        </w:tc>
        <w:tc>
          <w:tcPr>
            <w:tcW w:w="2308" w:type="dxa"/>
            <w:noWrap w:val="0"/>
            <w:vAlign w:val="center"/>
          </w:tcPr>
          <w:p w14:paraId="568580CC">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应知事项</w:t>
            </w:r>
          </w:p>
        </w:tc>
        <w:tc>
          <w:tcPr>
            <w:tcW w:w="5767" w:type="dxa"/>
            <w:noWrap w:val="0"/>
            <w:vAlign w:val="center"/>
          </w:tcPr>
          <w:p w14:paraId="19C30B64">
            <w:pPr>
              <w:pStyle w:val="27"/>
              <w:snapToGrid w:val="0"/>
              <w:spacing w:line="312" w:lineRule="auto"/>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说明和要求</w:t>
            </w:r>
          </w:p>
        </w:tc>
      </w:tr>
      <w:tr w14:paraId="15A5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893" w:type="dxa"/>
            <w:noWrap w:val="0"/>
            <w:vAlign w:val="center"/>
          </w:tcPr>
          <w:p w14:paraId="10A7CA86">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1</w:t>
            </w:r>
          </w:p>
        </w:tc>
        <w:tc>
          <w:tcPr>
            <w:tcW w:w="2308" w:type="dxa"/>
            <w:noWrap w:val="0"/>
            <w:vAlign w:val="center"/>
          </w:tcPr>
          <w:p w14:paraId="07FD2304">
            <w:pPr>
              <w:pStyle w:val="27"/>
              <w:snapToGrid w:val="0"/>
              <w:spacing w:line="312" w:lineRule="auto"/>
              <w:ind w:left="40"/>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定向采购</w:t>
            </w:r>
          </w:p>
        </w:tc>
        <w:tc>
          <w:tcPr>
            <w:tcW w:w="5767" w:type="dxa"/>
            <w:noWrap w:val="0"/>
            <w:vAlign w:val="center"/>
          </w:tcPr>
          <w:p w14:paraId="7A63741F">
            <w:pPr>
              <w:pStyle w:val="27"/>
              <w:snapToGrid w:val="0"/>
              <w:spacing w:line="312" w:lineRule="auto"/>
              <w:ind w:firstLine="240" w:firstLineChars="100"/>
              <w:jc w:val="both"/>
              <w:rPr>
                <w:rFonts w:ascii="仿宋" w:hAnsi="仿宋" w:eastAsia="仿宋" w:cs="仿宋"/>
                <w:color w:val="auto"/>
                <w:highlight w:val="none"/>
                <w:lang w:val="zh-CN"/>
              </w:rPr>
            </w:pPr>
            <w:r>
              <w:rPr>
                <w:rFonts w:hint="eastAsia" w:ascii="Segoe UI Symbol" w:hAnsi="Segoe UI Symbol" w:eastAsia="仿宋" w:cs="Segoe UI Symbol"/>
                <w:color w:val="auto"/>
                <w:highlight w:val="none"/>
              </w:rPr>
              <w:t>☑</w:t>
            </w:r>
            <w:r>
              <w:rPr>
                <w:rFonts w:hint="eastAsia" w:ascii="仿宋" w:hAnsi="仿宋" w:eastAsia="仿宋" w:cs="仿宋"/>
                <w:color w:val="auto"/>
                <w:highlight w:val="none"/>
                <w:lang w:val="zh-CN"/>
              </w:rPr>
              <w:t>无。</w:t>
            </w:r>
          </w:p>
          <w:p w14:paraId="5DD0A048">
            <w:pPr>
              <w:pStyle w:val="27"/>
              <w:snapToGrid w:val="0"/>
              <w:spacing w:line="312" w:lineRule="auto"/>
              <w:ind w:firstLine="240" w:firstLineChars="100"/>
              <w:rPr>
                <w:rFonts w:hint="eastAsia" w:ascii="仿宋" w:hAnsi="仿宋" w:eastAsia="仿宋" w:cs="仿宋"/>
                <w:color w:val="auto"/>
                <w:highlight w:val="none"/>
                <w:lang w:val="zh-CN"/>
              </w:rPr>
            </w:pPr>
            <w:r>
              <w:rPr>
                <w:rFonts w:hint="eastAsia" w:ascii="仿宋" w:hAnsi="仿宋" w:eastAsia="仿宋" w:cs="仿宋"/>
                <w:color w:val="auto"/>
                <w:highlight w:val="none"/>
              </w:rPr>
              <w:t>□本项目专门面向</w:t>
            </w:r>
            <w:r>
              <w:rPr>
                <w:rFonts w:hint="eastAsia" w:ascii="仿宋" w:hAnsi="仿宋" w:eastAsia="仿宋" w:cs="仿宋"/>
                <w:color w:val="auto"/>
                <w:highlight w:val="none"/>
                <w:lang w:val="zh-CN"/>
              </w:rPr>
              <w:t>中小企业（含中型、小型、微型企业）采购。</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 xml:space="preserve"> </w:t>
            </w:r>
          </w:p>
          <w:p w14:paraId="77048076">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w:t>
            </w:r>
            <w:r>
              <w:rPr>
                <w:rFonts w:hint="eastAsia" w:ascii="仿宋" w:hAnsi="仿宋" w:eastAsia="仿宋" w:cs="仿宋"/>
                <w:color w:val="auto"/>
                <w:highlight w:val="none"/>
                <w:lang w:val="zh-CN"/>
              </w:rPr>
              <w:t>本项目专门面向小微企业（含小型、微型企业）采购。</w:t>
            </w:r>
          </w:p>
        </w:tc>
      </w:tr>
      <w:tr w14:paraId="472F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893" w:type="dxa"/>
            <w:noWrap w:val="0"/>
            <w:vAlign w:val="center"/>
          </w:tcPr>
          <w:p w14:paraId="2F26972C">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2</w:t>
            </w:r>
          </w:p>
        </w:tc>
        <w:tc>
          <w:tcPr>
            <w:tcW w:w="2308" w:type="dxa"/>
            <w:noWrap w:val="0"/>
            <w:vAlign w:val="center"/>
          </w:tcPr>
          <w:p w14:paraId="00AB8C84">
            <w:pPr>
              <w:pStyle w:val="27"/>
              <w:snapToGrid w:val="0"/>
              <w:spacing w:line="312" w:lineRule="auto"/>
              <w:ind w:left="40"/>
              <w:jc w:val="center"/>
              <w:rPr>
                <w:rFonts w:hint="eastAsia" w:ascii="仿宋" w:hAnsi="仿宋" w:eastAsia="仿宋" w:cs="仿宋"/>
                <w:color w:val="auto"/>
                <w:highlight w:val="none"/>
              </w:rPr>
            </w:pPr>
            <w:r>
              <w:rPr>
                <w:rFonts w:hint="eastAsia" w:ascii="仿宋" w:hAnsi="仿宋" w:eastAsia="仿宋" w:cs="仿宋"/>
                <w:color w:val="auto"/>
                <w:highlight w:val="none"/>
              </w:rPr>
              <w:t>项目类别</w:t>
            </w:r>
          </w:p>
        </w:tc>
        <w:tc>
          <w:tcPr>
            <w:tcW w:w="5767" w:type="dxa"/>
            <w:noWrap w:val="0"/>
            <w:vAlign w:val="center"/>
          </w:tcPr>
          <w:p w14:paraId="619F46AD">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本项目属于</w:t>
            </w:r>
            <w:r>
              <w:rPr>
                <w:rFonts w:hint="eastAsia" w:ascii="仿宋" w:hAnsi="仿宋" w:eastAsia="仿宋" w:cs="仿宋"/>
                <w:color w:val="auto"/>
                <w:highlight w:val="none"/>
              </w:rPr>
              <w:t>□</w:t>
            </w:r>
            <w:r>
              <w:rPr>
                <w:rFonts w:hint="eastAsia" w:ascii="仿宋" w:hAnsi="仿宋" w:eastAsia="仿宋" w:cs="仿宋"/>
                <w:color w:val="auto"/>
                <w:highlight w:val="none"/>
                <w:lang w:val="zh-CN"/>
              </w:rPr>
              <w:t>货物</w:t>
            </w:r>
            <w:r>
              <w:rPr>
                <w:rFonts w:hint="eastAsia" w:ascii="仿宋" w:hAnsi="仿宋" w:eastAsia="仿宋" w:cs="仿宋"/>
                <w:color w:val="auto"/>
                <w:highlight w:val="none"/>
              </w:rPr>
              <w:t xml:space="preserve">  ☑服务</w:t>
            </w:r>
            <w:r>
              <w:rPr>
                <w:rFonts w:hint="eastAsia" w:ascii="仿宋" w:hAnsi="仿宋" w:eastAsia="仿宋" w:cs="仿宋"/>
                <w:color w:val="auto"/>
                <w:highlight w:val="none"/>
                <w:lang w:val="zh-CN"/>
              </w:rPr>
              <w:t>类采购项目。</w:t>
            </w:r>
          </w:p>
        </w:tc>
      </w:tr>
      <w:tr w14:paraId="6DCE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7" w:hRule="atLeast"/>
          <w:jc w:val="center"/>
        </w:trPr>
        <w:tc>
          <w:tcPr>
            <w:tcW w:w="893" w:type="dxa"/>
            <w:noWrap w:val="0"/>
            <w:vAlign w:val="center"/>
          </w:tcPr>
          <w:p w14:paraId="7C75ED23">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3</w:t>
            </w:r>
          </w:p>
        </w:tc>
        <w:tc>
          <w:tcPr>
            <w:tcW w:w="2308" w:type="dxa"/>
            <w:noWrap w:val="0"/>
            <w:vAlign w:val="center"/>
          </w:tcPr>
          <w:p w14:paraId="4C61A904">
            <w:pPr>
              <w:pStyle w:val="27"/>
              <w:snapToGrid w:val="0"/>
              <w:spacing w:line="312" w:lineRule="auto"/>
              <w:ind w:left="4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确定邀请磋商的供应商数量和方式</w:t>
            </w:r>
          </w:p>
        </w:tc>
        <w:tc>
          <w:tcPr>
            <w:tcW w:w="5767" w:type="dxa"/>
            <w:noWrap w:val="0"/>
            <w:vAlign w:val="center"/>
          </w:tcPr>
          <w:p w14:paraId="13271F30">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本次磋商邀请的供应商数量：</w:t>
            </w:r>
            <w:r>
              <w:rPr>
                <w:rFonts w:hint="eastAsia" w:ascii="仿宋" w:hAnsi="仿宋" w:eastAsia="仿宋" w:cs="仿宋"/>
                <w:color w:val="auto"/>
                <w:highlight w:val="none"/>
              </w:rPr>
              <w:t>不限定</w:t>
            </w:r>
            <w:r>
              <w:rPr>
                <w:rFonts w:hint="eastAsia" w:ascii="仿宋" w:hAnsi="仿宋" w:eastAsia="仿宋" w:cs="仿宋"/>
                <w:color w:val="auto"/>
                <w:highlight w:val="none"/>
                <w:lang w:val="zh-CN"/>
              </w:rPr>
              <w:t>；</w:t>
            </w:r>
          </w:p>
          <w:p w14:paraId="77C6BB6D">
            <w:pPr>
              <w:pStyle w:val="27"/>
              <w:snapToGrid w:val="0"/>
              <w:spacing w:line="312" w:lineRule="auto"/>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本次采购在汉源县中医医院官网（https://www.hyxzyy.cn/）上以公告方式邀请参加磋商的供应商。</w:t>
            </w:r>
          </w:p>
        </w:tc>
      </w:tr>
      <w:tr w14:paraId="0C03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12B3AC6A">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4</w:t>
            </w:r>
          </w:p>
        </w:tc>
        <w:tc>
          <w:tcPr>
            <w:tcW w:w="2308" w:type="dxa"/>
            <w:noWrap w:val="0"/>
            <w:vAlign w:val="center"/>
          </w:tcPr>
          <w:p w14:paraId="063C1E79">
            <w:pPr>
              <w:pStyle w:val="27"/>
              <w:snapToGrid w:val="0"/>
              <w:spacing w:line="312" w:lineRule="auto"/>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采购预算</w:t>
            </w:r>
          </w:p>
          <w:p w14:paraId="68EA5C85">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（实质性要求）</w:t>
            </w:r>
          </w:p>
        </w:tc>
        <w:tc>
          <w:tcPr>
            <w:tcW w:w="5767" w:type="dxa"/>
            <w:noWrap w:val="0"/>
            <w:vAlign w:val="center"/>
          </w:tcPr>
          <w:p w14:paraId="2503F311">
            <w:pPr>
              <w:pStyle w:val="27"/>
              <w:snapToGrid w:val="0"/>
              <w:spacing w:line="312" w:lineRule="auto"/>
              <w:ind w:firstLine="240" w:firstLineChars="100"/>
              <w:jc w:val="both"/>
              <w:rPr>
                <w:rFonts w:ascii="仿宋" w:hAnsi="仿宋" w:eastAsia="仿宋" w:cs="仿宋"/>
                <w:b/>
                <w:bCs/>
                <w:color w:val="auto"/>
                <w:highlight w:val="none"/>
              </w:rPr>
            </w:pPr>
            <w:r>
              <w:rPr>
                <w:rFonts w:hint="eastAsia" w:ascii="仿宋" w:hAnsi="仿宋" w:eastAsia="仿宋" w:cs="仿宋"/>
                <w:color w:val="auto"/>
                <w:highlight w:val="none"/>
              </w:rPr>
              <w:t>据实结算</w:t>
            </w:r>
          </w:p>
        </w:tc>
      </w:tr>
      <w:tr w14:paraId="141C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B73B812">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5</w:t>
            </w:r>
          </w:p>
        </w:tc>
        <w:tc>
          <w:tcPr>
            <w:tcW w:w="2308" w:type="dxa"/>
            <w:noWrap w:val="0"/>
            <w:vAlign w:val="center"/>
          </w:tcPr>
          <w:p w14:paraId="26DCC2DF">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最高限价</w:t>
            </w:r>
          </w:p>
          <w:p w14:paraId="22092FFB">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（实质性要求）</w:t>
            </w:r>
          </w:p>
        </w:tc>
        <w:tc>
          <w:tcPr>
            <w:tcW w:w="5767" w:type="dxa"/>
            <w:noWrap w:val="0"/>
            <w:vAlign w:val="center"/>
          </w:tcPr>
          <w:p w14:paraId="3103EA37">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本项目</w:t>
            </w:r>
            <w:r>
              <w:rPr>
                <w:rFonts w:hint="eastAsia" w:ascii="仿宋" w:hAnsi="仿宋" w:eastAsia="仿宋" w:cs="仿宋"/>
                <w:color w:val="auto"/>
                <w:highlight w:val="none"/>
                <w:lang w:val="zh-CN"/>
              </w:rPr>
              <w:t>最高限价：</w:t>
            </w:r>
            <w:r>
              <w:rPr>
                <w:rFonts w:hint="eastAsia" w:ascii="仿宋" w:hAnsi="仿宋" w:eastAsia="仿宋" w:cs="仿宋"/>
                <w:color w:val="auto"/>
                <w:highlight w:val="none"/>
              </w:rPr>
              <w:t>详见第五章。</w:t>
            </w:r>
          </w:p>
          <w:p w14:paraId="3F023686">
            <w:pPr>
              <w:pStyle w:val="27"/>
              <w:snapToGrid w:val="0"/>
              <w:spacing w:line="312" w:lineRule="auto"/>
              <w:ind w:firstLine="241" w:firstLineChars="100"/>
              <w:jc w:val="both"/>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超过最高限价的报价无效。</w:t>
            </w:r>
          </w:p>
        </w:tc>
      </w:tr>
      <w:tr w14:paraId="667E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1457B95">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6</w:t>
            </w:r>
          </w:p>
        </w:tc>
        <w:tc>
          <w:tcPr>
            <w:tcW w:w="2308" w:type="dxa"/>
            <w:noWrap w:val="0"/>
            <w:vAlign w:val="center"/>
          </w:tcPr>
          <w:p w14:paraId="1B062726">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联合体</w:t>
            </w:r>
          </w:p>
          <w:p w14:paraId="0D3C712A">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b/>
                <w:bCs/>
                <w:color w:val="auto"/>
                <w:highlight w:val="none"/>
              </w:rPr>
              <w:t>（实质性要求）</w:t>
            </w:r>
          </w:p>
        </w:tc>
        <w:tc>
          <w:tcPr>
            <w:tcW w:w="5767" w:type="dxa"/>
            <w:noWrap w:val="0"/>
            <w:vAlign w:val="center"/>
          </w:tcPr>
          <w:p w14:paraId="45E95877">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本项目</w:t>
            </w:r>
            <w:r>
              <w:rPr>
                <w:rFonts w:hint="eastAsia" w:ascii="仿宋" w:hAnsi="仿宋" w:eastAsia="仿宋" w:cs="仿宋"/>
                <w:color w:val="auto"/>
                <w:highlight w:val="none"/>
              </w:rPr>
              <w:t>□</w:t>
            </w:r>
            <w:r>
              <w:rPr>
                <w:rFonts w:hint="eastAsia" w:ascii="仿宋" w:hAnsi="仿宋" w:eastAsia="仿宋" w:cs="仿宋"/>
                <w:color w:val="auto"/>
                <w:highlight w:val="none"/>
                <w:lang w:val="zh-CN"/>
              </w:rPr>
              <w:t>接受</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不接受联合体参与采购活动。</w:t>
            </w:r>
          </w:p>
        </w:tc>
      </w:tr>
      <w:tr w14:paraId="5AAA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C4E3430">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7</w:t>
            </w:r>
          </w:p>
        </w:tc>
        <w:tc>
          <w:tcPr>
            <w:tcW w:w="2308" w:type="dxa"/>
            <w:noWrap w:val="0"/>
            <w:vAlign w:val="center"/>
          </w:tcPr>
          <w:p w14:paraId="20DFAA92">
            <w:pPr>
              <w:adjustRightInd w:val="0"/>
              <w:snapToGrid w:val="0"/>
              <w:spacing w:line="312" w:lineRule="auto"/>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是否允许进口产</w:t>
            </w:r>
          </w:p>
          <w:p w14:paraId="332A2F3C">
            <w:pPr>
              <w:adjustRightInd w:val="0"/>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zh-CN"/>
              </w:rPr>
              <w:t>品</w:t>
            </w:r>
            <w:r>
              <w:rPr>
                <w:rFonts w:hint="eastAsia" w:ascii="仿宋" w:hAnsi="仿宋" w:eastAsia="仿宋" w:cs="仿宋"/>
                <w:b/>
                <w:bCs/>
                <w:color w:val="auto"/>
                <w:kern w:val="0"/>
                <w:sz w:val="24"/>
                <w:highlight w:val="none"/>
              </w:rPr>
              <w:t>参与报价</w:t>
            </w:r>
          </w:p>
          <w:p w14:paraId="4FB948AA">
            <w:pPr>
              <w:adjustRightInd w:val="0"/>
              <w:snapToGrid w:val="0"/>
              <w:spacing w:line="312" w:lineRule="auto"/>
              <w:jc w:val="center"/>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highlight w:val="none"/>
              </w:rPr>
              <w:t>（本项目不涉及）</w:t>
            </w:r>
          </w:p>
        </w:tc>
        <w:tc>
          <w:tcPr>
            <w:tcW w:w="5767" w:type="dxa"/>
            <w:noWrap w:val="0"/>
            <w:vAlign w:val="top"/>
          </w:tcPr>
          <w:p w14:paraId="4D366AFD">
            <w:pPr>
              <w:keepLines/>
              <w:widowControl/>
              <w:snapToGrid w:val="0"/>
              <w:spacing w:line="312" w:lineRule="auto"/>
              <w:ind w:firstLine="240" w:firstLineChars="1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1、采购文件中列明不允许、或者未列明允许进口产品参加报价的，均视为拒绝进口产品参加报价。供应商应当在报价一览表中如实填写报价产品是否为进口产品，不得隐瞒报价产品真相参与报价；</w:t>
            </w:r>
            <w:r>
              <w:rPr>
                <w:rFonts w:hint="eastAsia" w:ascii="仿宋" w:hAnsi="仿宋" w:eastAsia="仿宋" w:cs="仿宋"/>
                <w:b/>
                <w:bCs/>
                <w:color w:val="auto"/>
                <w:sz w:val="24"/>
                <w:highlight w:val="none"/>
              </w:rPr>
              <w:t>否则磋商小组在对其进行技术响应性审查时，认定为响应无效。</w:t>
            </w:r>
          </w:p>
          <w:p w14:paraId="10B5ACAC">
            <w:pPr>
              <w:keepLines/>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t>2、如果供应商隐瞒真相用进口产品报价而成交的，一旦被质疑、举报（或投诉）处理查调属实的，则将依法取消其成交资格。</w:t>
            </w:r>
          </w:p>
        </w:tc>
      </w:tr>
      <w:tr w14:paraId="74C1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A39C9BC">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8</w:t>
            </w:r>
          </w:p>
        </w:tc>
        <w:tc>
          <w:tcPr>
            <w:tcW w:w="2308" w:type="dxa"/>
            <w:noWrap w:val="0"/>
            <w:vAlign w:val="center"/>
          </w:tcPr>
          <w:p w14:paraId="113FD790">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是否允许供应商将项目非主体、非关键性工作交由他人完成</w:t>
            </w:r>
            <w:r>
              <w:rPr>
                <w:rFonts w:hint="eastAsia" w:ascii="仿宋" w:hAnsi="仿宋" w:eastAsia="仿宋" w:cs="仿宋"/>
                <w:b/>
                <w:bCs/>
                <w:color w:val="auto"/>
                <w:sz w:val="24"/>
                <w:szCs w:val="24"/>
                <w:highlight w:val="none"/>
                <w:lang w:val="zh-CN"/>
              </w:rPr>
              <w:t>（实质性要求）</w:t>
            </w:r>
          </w:p>
        </w:tc>
        <w:tc>
          <w:tcPr>
            <w:tcW w:w="5767" w:type="dxa"/>
            <w:noWrap w:val="0"/>
            <w:vAlign w:val="center"/>
          </w:tcPr>
          <w:p w14:paraId="1D7C3676">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☑否</w:t>
            </w:r>
          </w:p>
          <w:p w14:paraId="5CC9EAFD">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□是，同意将非主体、非关键性的</w:t>
            </w:r>
            <w:r>
              <w:rPr>
                <w:rFonts w:hint="eastAsia" w:ascii="仿宋" w:hAnsi="仿宋" w:eastAsia="仿宋" w:cs="仿宋"/>
                <w:b/>
                <w:bCs/>
                <w:color w:val="auto"/>
                <w:sz w:val="24"/>
                <w:highlight w:val="none"/>
                <w:u w:val="single"/>
              </w:rPr>
              <w:t xml:space="preserve"> </w:t>
            </w:r>
            <w:r>
              <w:rPr>
                <w:rFonts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rPr>
              <w:t>工作分包。</w:t>
            </w:r>
          </w:p>
          <w:p w14:paraId="5364DD18">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供应商拟在成交后将成交项目的非主体、非关键性工作分包的，应当在响应文件中载明分包承担主体，分包承担主体应当具备相应资质条件且不得再次分包。</w:t>
            </w:r>
          </w:p>
          <w:p w14:paraId="1DA41A41">
            <w:pPr>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t>中小企业依据《政府采购促进中小企业发展管理办法》（财库﹝2020﹞46 号）规定享受扶持政策获得政府采购合同的，小微企业不得将合同分包给大中型企业，中型企业不得将合同分包给大型企业。</w:t>
            </w:r>
          </w:p>
        </w:tc>
      </w:tr>
      <w:tr w14:paraId="5952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7ABBDD01">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9</w:t>
            </w:r>
          </w:p>
        </w:tc>
        <w:tc>
          <w:tcPr>
            <w:tcW w:w="2308" w:type="dxa"/>
            <w:noWrap w:val="0"/>
            <w:vAlign w:val="center"/>
          </w:tcPr>
          <w:p w14:paraId="375FFD01">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答疑会和现场考察</w:t>
            </w:r>
          </w:p>
        </w:tc>
        <w:tc>
          <w:tcPr>
            <w:tcW w:w="5767" w:type="dxa"/>
            <w:noWrap w:val="0"/>
            <w:vAlign w:val="center"/>
          </w:tcPr>
          <w:p w14:paraId="61B55790">
            <w:pPr>
              <w:pStyle w:val="27"/>
              <w:snapToGrid w:val="0"/>
              <w:spacing w:line="312" w:lineRule="auto"/>
              <w:ind w:firstLine="240" w:firstLineChars="100"/>
              <w:rPr>
                <w:rFonts w:hint="eastAsia" w:ascii="仿宋" w:hAnsi="仿宋" w:eastAsia="仿宋" w:cs="仿宋"/>
                <w:color w:val="auto"/>
                <w:kern w:val="2"/>
                <w:highlight w:val="none"/>
              </w:rPr>
            </w:pPr>
            <w:r>
              <w:rPr>
                <w:rFonts w:hint="eastAsia" w:ascii="仿宋" w:hAnsi="仿宋" w:eastAsia="仿宋" w:cs="仿宋"/>
                <w:color w:val="auto"/>
                <w:highlight w:val="none"/>
              </w:rPr>
              <w:t>☑</w:t>
            </w:r>
            <w:r>
              <w:rPr>
                <w:rFonts w:hint="eastAsia" w:ascii="仿宋" w:hAnsi="仿宋" w:eastAsia="仿宋" w:cs="仿宋"/>
                <w:color w:val="auto"/>
                <w:kern w:val="2"/>
                <w:highlight w:val="none"/>
              </w:rPr>
              <w:t>本项目不举行现场考察、标前答疑会。供应商如有需要，可自行前往现场考察，费用自理。</w:t>
            </w:r>
          </w:p>
          <w:p w14:paraId="49DBAD6C">
            <w:pPr>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□本项目举行现场考察、标前答疑会。时间：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。逾期</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将不再组织，潜在供应商未按时参加，由此造成的不利后果自行承担。</w:t>
            </w:r>
          </w:p>
        </w:tc>
      </w:tr>
      <w:tr w14:paraId="2501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F75CB7A">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10</w:t>
            </w:r>
          </w:p>
        </w:tc>
        <w:tc>
          <w:tcPr>
            <w:tcW w:w="2308" w:type="dxa"/>
            <w:noWrap w:val="0"/>
            <w:vAlign w:val="center"/>
          </w:tcPr>
          <w:p w14:paraId="595892BB">
            <w:pPr>
              <w:widowControl/>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备选响应方案和报价</w:t>
            </w:r>
          </w:p>
        </w:tc>
        <w:tc>
          <w:tcPr>
            <w:tcW w:w="5767" w:type="dxa"/>
            <w:noWrap w:val="0"/>
            <w:vAlign w:val="center"/>
          </w:tcPr>
          <w:p w14:paraId="38B63678">
            <w:pPr>
              <w:widowControl/>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本项目不接受备选响应方案和多个报价。</w:t>
            </w:r>
          </w:p>
        </w:tc>
      </w:tr>
      <w:tr w14:paraId="514E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0640D0BE">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11</w:t>
            </w:r>
          </w:p>
        </w:tc>
        <w:tc>
          <w:tcPr>
            <w:tcW w:w="2308" w:type="dxa"/>
            <w:noWrap w:val="0"/>
            <w:vAlign w:val="center"/>
          </w:tcPr>
          <w:p w14:paraId="3B5A1EA2">
            <w:pPr>
              <w:widowControl/>
              <w:adjustRightInd w:val="0"/>
              <w:snapToGrid w:val="0"/>
              <w:spacing w:line="312" w:lineRule="auto"/>
              <w:ind w:left="96"/>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合同定价方式</w:t>
            </w:r>
          </w:p>
        </w:tc>
        <w:tc>
          <w:tcPr>
            <w:tcW w:w="5767" w:type="dxa"/>
            <w:noWrap w:val="0"/>
            <w:vAlign w:val="center"/>
          </w:tcPr>
          <w:p w14:paraId="4E67DD57">
            <w:pPr>
              <w:widowControl/>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 xml:space="preserve">固定总价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 xml:space="preserve">固定单价  </w:t>
            </w:r>
            <w:r>
              <w:rPr>
                <w:rFonts w:hint="eastAsia" w:ascii="Segoe UI Symbol" w:hAnsi="Segoe UI Symbol" w:eastAsia="仿宋" w:cs="Segoe UI Symbol"/>
                <w:color w:val="auto"/>
                <w:sz w:val="24"/>
                <w:szCs w:val="24"/>
                <w:highlight w:val="none"/>
              </w:rPr>
              <w:t>□</w:t>
            </w:r>
            <w:r>
              <w:rPr>
                <w:rFonts w:hint="eastAsia" w:ascii="仿宋" w:hAnsi="仿宋" w:eastAsia="仿宋" w:cs="仿宋"/>
                <w:color w:val="auto"/>
                <w:sz w:val="24"/>
                <w:szCs w:val="24"/>
                <w:highlight w:val="none"/>
              </w:rPr>
              <w:t>其他方式</w:t>
            </w:r>
          </w:p>
        </w:tc>
      </w:tr>
      <w:tr w14:paraId="217E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2056A356">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12</w:t>
            </w:r>
          </w:p>
        </w:tc>
        <w:tc>
          <w:tcPr>
            <w:tcW w:w="2308" w:type="dxa"/>
            <w:noWrap w:val="0"/>
            <w:vAlign w:val="center"/>
          </w:tcPr>
          <w:p w14:paraId="1570F938">
            <w:pPr>
              <w:widowControl/>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低价不正当</w:t>
            </w:r>
          </w:p>
          <w:p w14:paraId="0EDBAB69">
            <w:pPr>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竞争预防措施</w:t>
            </w:r>
          </w:p>
          <w:p w14:paraId="2128DE76">
            <w:pPr>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（实质性要求）</w:t>
            </w:r>
          </w:p>
          <w:p w14:paraId="17A8BB13">
            <w:pPr>
              <w:widowControl/>
              <w:adjustRightInd w:val="0"/>
              <w:snapToGrid w:val="0"/>
              <w:spacing w:line="312" w:lineRule="auto"/>
              <w:ind w:left="96"/>
              <w:jc w:val="center"/>
              <w:rPr>
                <w:rFonts w:hint="eastAsia" w:ascii="仿宋" w:hAnsi="仿宋" w:eastAsia="仿宋" w:cs="仿宋"/>
                <w:color w:val="auto"/>
                <w:sz w:val="24"/>
                <w:szCs w:val="24"/>
                <w:highlight w:val="none"/>
                <w:lang w:val="zh-CN"/>
              </w:rPr>
            </w:pPr>
          </w:p>
        </w:tc>
        <w:tc>
          <w:tcPr>
            <w:tcW w:w="5767" w:type="dxa"/>
            <w:noWrap w:val="0"/>
            <w:vAlign w:val="center"/>
          </w:tcPr>
          <w:p w14:paraId="1FDCCCF7">
            <w:pPr>
              <w:widowControl/>
              <w:snapToGrid w:val="0"/>
              <w:spacing w:line="312" w:lineRule="auto"/>
              <w:ind w:firstLine="240" w:firstLineChars="1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1、磋商小组</w:t>
            </w:r>
            <w:r>
              <w:rPr>
                <w:rFonts w:hint="eastAsia" w:ascii="仿宋" w:hAnsi="仿宋" w:eastAsia="仿宋" w:cs="仿宋"/>
                <w:color w:val="auto"/>
                <w:kern w:val="0"/>
                <w:sz w:val="24"/>
                <w:highlight w:val="none"/>
              </w:rPr>
              <w:t>认为供应商的报价明显低于其他有效供应商的报价，</w:t>
            </w:r>
            <w:r>
              <w:rPr>
                <w:rFonts w:hint="eastAsia" w:ascii="仿宋" w:hAnsi="仿宋" w:eastAsia="仿宋" w:cs="仿宋"/>
                <w:color w:val="auto"/>
                <w:sz w:val="24"/>
                <w:szCs w:val="24"/>
                <w:highlight w:val="none"/>
              </w:rPr>
              <w:t>有可能影响产品质量或者不能诚信履约的，应当要求其在评审现场合理的时间内提供书面说明，并提交相关证明材料；</w:t>
            </w:r>
            <w:r>
              <w:rPr>
                <w:rFonts w:hint="eastAsia" w:ascii="仿宋" w:hAnsi="仿宋" w:eastAsia="仿宋" w:cs="仿宋"/>
                <w:b/>
                <w:bCs/>
                <w:color w:val="auto"/>
                <w:sz w:val="24"/>
                <w:szCs w:val="24"/>
                <w:highlight w:val="none"/>
              </w:rPr>
              <w:t>供应商不能证明其报价合理性的，磋商小组应当将其响应文件作为无效处理。</w:t>
            </w:r>
          </w:p>
          <w:p w14:paraId="22F6DE45">
            <w:pPr>
              <w:widowControl/>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供应商书面说明应当签字确认或者加盖公章，否则无效。</w:t>
            </w:r>
            <w:r>
              <w:rPr>
                <w:rFonts w:hint="eastAsia" w:ascii="仿宋" w:hAnsi="仿宋" w:eastAsia="仿宋" w:cs="仿宋"/>
                <w:color w:val="auto"/>
                <w:sz w:val="24"/>
                <w:szCs w:val="24"/>
                <w:highlight w:val="none"/>
              </w:rPr>
              <w:t>书面说明应由其本人或法定代表人/主要负责人或者其授权代表签字确认。</w:t>
            </w:r>
          </w:p>
          <w:p w14:paraId="7BEB80B9">
            <w:pPr>
              <w:widowControl/>
              <w:snapToGrid w:val="0"/>
              <w:spacing w:line="312" w:lineRule="auto"/>
              <w:ind w:firstLine="240" w:firstLineChars="100"/>
              <w:rPr>
                <w:rFonts w:hint="eastAsia" w:ascii="仿宋" w:hAnsi="仿宋" w:eastAsia="仿宋" w:cs="仿宋"/>
                <w:color w:val="auto"/>
                <w:highlight w:val="none"/>
                <w:lang w:val="zh-CN"/>
              </w:rPr>
            </w:pPr>
            <w:r>
              <w:rPr>
                <w:rFonts w:hint="eastAsia" w:ascii="仿宋" w:hAnsi="仿宋" w:eastAsia="仿宋" w:cs="仿宋"/>
                <w:color w:val="auto"/>
                <w:sz w:val="24"/>
                <w:szCs w:val="24"/>
                <w:highlight w:val="none"/>
              </w:rPr>
              <w:t>3、供应商提供书面说明后，磋商小组应当结合采购项目采购需求、专业实际情况、供应商财务状况报告、与其他供应商比较情况等就供应商书面说明进行审查评价。</w:t>
            </w:r>
            <w:r>
              <w:rPr>
                <w:rFonts w:hint="eastAsia" w:ascii="仿宋" w:hAnsi="仿宋" w:eastAsia="仿宋" w:cs="仿宋"/>
                <w:b/>
                <w:bCs/>
                <w:color w:val="auto"/>
                <w:sz w:val="24"/>
                <w:szCs w:val="24"/>
                <w:highlight w:val="none"/>
              </w:rPr>
              <w:t>供应商拒绝或者变相拒绝提供有效书面说明（或相关证明材料），或者提供的书面说明或相关证明材料不能证明其报价合理性的或未在规定时间内递交有效书面说明书（或相关证明材料）的，磋商小组应当将其响应文件作为无效处理。</w:t>
            </w:r>
          </w:p>
        </w:tc>
      </w:tr>
      <w:tr w14:paraId="4B37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3E5FAC1">
            <w:pPr>
              <w:pStyle w:val="27"/>
              <w:snapToGrid w:val="0"/>
              <w:spacing w:line="312" w:lineRule="auto"/>
              <w:jc w:val="center"/>
              <w:rPr>
                <w:rFonts w:ascii="仿宋" w:hAnsi="仿宋" w:eastAsia="仿宋" w:cs="仿宋"/>
                <w:color w:val="auto"/>
                <w:highlight w:val="none"/>
              </w:rPr>
            </w:pPr>
            <w:r>
              <w:rPr>
                <w:rFonts w:hint="eastAsia" w:ascii="仿宋" w:hAnsi="仿宋" w:eastAsia="仿宋" w:cs="仿宋"/>
                <w:color w:val="auto"/>
                <w:highlight w:val="none"/>
              </w:rPr>
              <w:t>13</w:t>
            </w:r>
          </w:p>
        </w:tc>
        <w:tc>
          <w:tcPr>
            <w:tcW w:w="2308" w:type="dxa"/>
            <w:noWrap w:val="0"/>
            <w:vAlign w:val="center"/>
          </w:tcPr>
          <w:p w14:paraId="255C1A6E">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小微企业（监狱企业、残疾人福利性单位视同小微企业）价格扣除</w:t>
            </w:r>
          </w:p>
          <w:p w14:paraId="49E3B037">
            <w:pPr>
              <w:adjustRightInd w:val="0"/>
              <w:snapToGrid w:val="0"/>
              <w:spacing w:line="312" w:lineRule="auto"/>
              <w:ind w:left="96"/>
              <w:jc w:val="center"/>
              <w:rPr>
                <w:rFonts w:hint="eastAsia" w:ascii="仿宋" w:hAnsi="仿宋" w:eastAsia="仿宋" w:cs="仿宋"/>
                <w:b/>
                <w:bCs/>
                <w:color w:val="auto"/>
                <w:sz w:val="24"/>
                <w:szCs w:val="24"/>
                <w:highlight w:val="none"/>
                <w:lang w:val="zh-CN"/>
              </w:rPr>
            </w:pPr>
          </w:p>
        </w:tc>
        <w:tc>
          <w:tcPr>
            <w:tcW w:w="5767" w:type="dxa"/>
            <w:noWrap w:val="0"/>
            <w:vAlign w:val="center"/>
          </w:tcPr>
          <w:p w14:paraId="583E54F9">
            <w:pPr>
              <w:pStyle w:val="27"/>
              <w:snapToGrid w:val="0"/>
              <w:spacing w:line="312" w:lineRule="auto"/>
              <w:ind w:firstLine="241" w:firstLineChars="100"/>
              <w:rPr>
                <w:rFonts w:hint="eastAsia" w:ascii="仿宋" w:hAnsi="仿宋" w:eastAsia="仿宋" w:cs="仿宋"/>
                <w:b/>
                <w:color w:val="auto"/>
                <w:highlight w:val="none"/>
                <w:lang w:val="zh-CN"/>
              </w:rPr>
            </w:pP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本项目不适用</w:t>
            </w:r>
            <w:r>
              <w:rPr>
                <w:rFonts w:hint="eastAsia" w:ascii="仿宋" w:hAnsi="仿宋" w:eastAsia="仿宋" w:cs="仿宋"/>
                <w:b/>
                <w:color w:val="auto"/>
                <w:highlight w:val="none"/>
                <w:lang w:val="zh-CN"/>
              </w:rPr>
              <w:t>。</w:t>
            </w:r>
            <w:r>
              <w:rPr>
                <w:rFonts w:hint="eastAsia" w:ascii="仿宋" w:hAnsi="仿宋" w:eastAsia="仿宋" w:cs="仿宋"/>
                <w:b/>
                <w:color w:val="auto"/>
                <w:highlight w:val="none"/>
              </w:rPr>
              <w:t>（</w:t>
            </w:r>
            <w:r>
              <w:rPr>
                <w:rFonts w:hint="eastAsia" w:ascii="仿宋" w:hAnsi="仿宋" w:eastAsia="仿宋" w:cs="仿宋"/>
                <w:b/>
                <w:bCs/>
                <w:color w:val="auto"/>
                <w:highlight w:val="none"/>
              </w:rPr>
              <w:t>专门面向中小企业的采购项目或采购包不再进行价格扣除）</w:t>
            </w:r>
          </w:p>
          <w:p w14:paraId="64A12EDB">
            <w:pPr>
              <w:widowControl/>
              <w:adjustRightInd w:val="0"/>
              <w:snapToGrid w:val="0"/>
              <w:spacing w:line="312"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b/>
                <w:color w:val="auto"/>
                <w:kern w:val="0"/>
                <w:sz w:val="24"/>
                <w:highlight w:val="none"/>
                <w:lang w:val="zh-CN"/>
              </w:rPr>
              <w:t>执行小微企业价格扣除政策。</w:t>
            </w:r>
          </w:p>
          <w:p w14:paraId="3515F712">
            <w:pPr>
              <w:snapToGrid w:val="0"/>
              <w:spacing w:line="312" w:lineRule="auto"/>
              <w:ind w:left="105" w:leftChars="50" w:right="105" w:rightChars="5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w:t>
            </w:r>
            <w:r>
              <w:rPr>
                <w:rFonts w:hint="eastAsia" w:ascii="仿宋" w:hAnsi="仿宋" w:eastAsia="仿宋" w:cs="仿宋"/>
                <w:color w:val="auto"/>
                <w:kern w:val="0"/>
                <w:sz w:val="24"/>
                <w:highlight w:val="none"/>
              </w:rPr>
              <w:t>《政府采购促进中小企业发展管理办法》（财库﹝2020﹞46 号）、《关于进一步加大政府采购支持中小企业力度的通知》（财库﹝2022﹞19号）的规定</w:t>
            </w:r>
            <w:r>
              <w:rPr>
                <w:rFonts w:hint="eastAsia" w:ascii="仿宋" w:hAnsi="仿宋" w:eastAsia="仿宋" w:cs="仿宋"/>
                <w:color w:val="auto"/>
                <w:sz w:val="24"/>
                <w:szCs w:val="24"/>
                <w:highlight w:val="none"/>
              </w:rPr>
              <w:t>，对小型和微型企业产品的价格给予10%的价格扣除，用扣除后的价格参与评审。</w:t>
            </w:r>
          </w:p>
          <w:p w14:paraId="619D8AF6">
            <w:pPr>
              <w:snapToGrid w:val="0"/>
              <w:spacing w:line="312" w:lineRule="auto"/>
              <w:ind w:right="105" w:rightChars="50"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2、参加采购活动的中小企业应当提供《中小企业声明函》原件。</w:t>
            </w:r>
            <w:r>
              <w:rPr>
                <w:rFonts w:hint="eastAsia" w:ascii="仿宋" w:hAnsi="仿宋" w:eastAsia="仿宋" w:cs="仿宋"/>
                <w:color w:val="auto"/>
                <w:sz w:val="24"/>
                <w:szCs w:val="24"/>
                <w:highlight w:val="none"/>
              </w:rPr>
              <w:t>监狱企业应当提供由省级以上监狱管理局、戒毒管理局（含新疆生产建设兵团）出具的属于监狱企业证明文件。残疾人福利性单位应当提供《残疾人福利性单位声明函》原件。</w:t>
            </w:r>
          </w:p>
          <w:p w14:paraId="3B4A3CA7">
            <w:pPr>
              <w:widowControl/>
              <w:adjustRightInd w:val="0"/>
              <w:snapToGrid w:val="0"/>
              <w:spacing w:line="312"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3、接受大中型企业与小型、微型企业组成联合体或者允许大中型企业向一家或多家小微企业分包的采购项目，对于联合体协议或分包意向协议约定小微企业的合同份额占到合同总金额30%以上的，应当对联合体或者大中型企业的报价给予4%的价格扣除，用扣除后的价格参加评审。组成联合体或者接受分包的小微企业与联合体内其他企业、分包企业之间存在直接控股、管理关系的，不享受价格扣除优惠政策。</w:t>
            </w:r>
          </w:p>
          <w:p w14:paraId="260D3960">
            <w:pPr>
              <w:widowControl/>
              <w:adjustRightInd w:val="0"/>
              <w:snapToGrid w:val="0"/>
              <w:spacing w:line="312"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以联合体形式参加政府采购活动，联合体各方均为中小企业的，联合体视同中小企业。其中，联合体各方均为小微企业的，联合体视同小微企业（允许联合体参与采购活动适用）。</w:t>
            </w:r>
          </w:p>
        </w:tc>
      </w:tr>
      <w:tr w14:paraId="4A52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84E23D8">
            <w:pPr>
              <w:pStyle w:val="27"/>
              <w:snapToGrid w:val="0"/>
              <w:spacing w:line="312" w:lineRule="auto"/>
              <w:jc w:val="center"/>
              <w:rPr>
                <w:rFonts w:ascii="仿宋" w:hAnsi="仿宋" w:eastAsia="仿宋" w:cs="仿宋"/>
                <w:color w:val="auto"/>
                <w:highlight w:val="none"/>
              </w:rPr>
            </w:pPr>
            <w:r>
              <w:rPr>
                <w:rFonts w:hint="eastAsia" w:ascii="仿宋" w:hAnsi="仿宋" w:eastAsia="仿宋" w:cs="仿宋"/>
                <w:color w:val="auto"/>
                <w:highlight w:val="none"/>
              </w:rPr>
              <w:t>14</w:t>
            </w:r>
          </w:p>
        </w:tc>
        <w:tc>
          <w:tcPr>
            <w:tcW w:w="2308" w:type="dxa"/>
            <w:noWrap w:val="0"/>
            <w:vAlign w:val="center"/>
          </w:tcPr>
          <w:p w14:paraId="63847EF9">
            <w:pPr>
              <w:adjustRightInd w:val="0"/>
              <w:snapToGrid w:val="0"/>
              <w:spacing w:line="312" w:lineRule="auto"/>
              <w:ind w:left="105" w:leftChars="50" w:right="105" w:rightChars="5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rPr>
              <w:t>确定成交供应商</w:t>
            </w:r>
          </w:p>
        </w:tc>
        <w:tc>
          <w:tcPr>
            <w:tcW w:w="5767" w:type="dxa"/>
            <w:noWrap w:val="0"/>
            <w:vAlign w:val="center"/>
          </w:tcPr>
          <w:p w14:paraId="24DAE28C">
            <w:pPr>
              <w:widowControl/>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1、□采购人委托磋商小组直接确定成交供应商。</w:t>
            </w:r>
          </w:p>
          <w:p w14:paraId="761D79DF">
            <w:pPr>
              <w:widowControl/>
              <w:snapToGrid w:val="0"/>
              <w:spacing w:line="312"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2、☑由磋商小组推荐成交候选供应商，由采购人按顺序确定成交供应商。</w:t>
            </w:r>
          </w:p>
        </w:tc>
      </w:tr>
      <w:tr w14:paraId="0354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08B90121">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5</w:t>
            </w:r>
          </w:p>
        </w:tc>
        <w:tc>
          <w:tcPr>
            <w:tcW w:w="2308" w:type="dxa"/>
            <w:noWrap w:val="0"/>
            <w:vAlign w:val="center"/>
          </w:tcPr>
          <w:p w14:paraId="451B131F">
            <w:pPr>
              <w:pStyle w:val="27"/>
              <w:snapToGrid w:val="0"/>
              <w:spacing w:line="312"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响应文件有效期</w:t>
            </w:r>
          </w:p>
          <w:p w14:paraId="3A672B69">
            <w:pPr>
              <w:pStyle w:val="27"/>
              <w:snapToGrid w:val="0"/>
              <w:spacing w:line="312"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5767" w:type="dxa"/>
            <w:noWrap w:val="0"/>
            <w:vAlign w:val="center"/>
          </w:tcPr>
          <w:p w14:paraId="58C06CB5">
            <w:pPr>
              <w:snapToGrid w:val="0"/>
              <w:spacing w:line="312" w:lineRule="auto"/>
              <w:ind w:firstLine="470" w:firstLineChars="196"/>
              <w:rPr>
                <w:rFonts w:hint="eastAsia" w:ascii="仿宋" w:hAnsi="仿宋" w:eastAsia="仿宋" w:cs="仿宋"/>
                <w:b/>
                <w:color w:val="auto"/>
                <w:kern w:val="0"/>
                <w:sz w:val="24"/>
                <w:highlight w:val="none"/>
              </w:rPr>
            </w:pPr>
            <w:r>
              <w:rPr>
                <w:rFonts w:hint="eastAsia" w:ascii="仿宋" w:hAnsi="仿宋" w:eastAsia="仿宋" w:cs="仿宋"/>
                <w:bCs/>
                <w:color w:val="auto"/>
                <w:sz w:val="24"/>
                <w:highlight w:val="none"/>
              </w:rPr>
              <w:t>响应文件有效期为递交磋商响应文件截止之日起90天。供应商响应文件中必须载明响应文件有效期，响应文件中载明的响应文件有效期可以长于磋商文件规定的期限，但不得短于磋商文件规定的期限。</w:t>
            </w:r>
            <w:r>
              <w:rPr>
                <w:rFonts w:hint="eastAsia" w:ascii="仿宋" w:hAnsi="仿宋" w:eastAsia="仿宋" w:cs="仿宋"/>
                <w:b/>
                <w:color w:val="auto"/>
                <w:sz w:val="24"/>
                <w:highlight w:val="none"/>
              </w:rPr>
              <w:t>否则，其响应文件将作为无效处理。</w:t>
            </w:r>
          </w:p>
        </w:tc>
      </w:tr>
      <w:tr w14:paraId="500A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55F6B875">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6</w:t>
            </w:r>
          </w:p>
        </w:tc>
        <w:tc>
          <w:tcPr>
            <w:tcW w:w="2308" w:type="dxa"/>
            <w:noWrap w:val="0"/>
            <w:vAlign w:val="center"/>
          </w:tcPr>
          <w:p w14:paraId="2668FF94">
            <w:pPr>
              <w:pStyle w:val="27"/>
              <w:snapToGrid w:val="0"/>
              <w:spacing w:line="312" w:lineRule="auto"/>
              <w:ind w:left="33"/>
              <w:jc w:val="center"/>
              <w:rPr>
                <w:rFonts w:hint="eastAsia" w:ascii="仿宋" w:hAnsi="仿宋" w:eastAsia="仿宋" w:cs="仿宋"/>
                <w:color w:val="auto"/>
                <w:kern w:val="2"/>
                <w:szCs w:val="28"/>
                <w:highlight w:val="none"/>
              </w:rPr>
            </w:pPr>
            <w:r>
              <w:rPr>
                <w:rFonts w:hint="eastAsia" w:ascii="仿宋" w:hAnsi="仿宋" w:eastAsia="仿宋" w:cs="仿宋"/>
                <w:color w:val="auto"/>
                <w:kern w:val="2"/>
                <w:szCs w:val="28"/>
                <w:highlight w:val="none"/>
              </w:rPr>
              <w:t>响应文件份数</w:t>
            </w:r>
          </w:p>
        </w:tc>
        <w:tc>
          <w:tcPr>
            <w:tcW w:w="5767" w:type="dxa"/>
            <w:noWrap w:val="0"/>
            <w:vAlign w:val="center"/>
          </w:tcPr>
          <w:p w14:paraId="057DE1EE">
            <w:pPr>
              <w:tabs>
                <w:tab w:val="left" w:pos="7665"/>
              </w:tabs>
              <w:snapToGrid w:val="0"/>
              <w:spacing w:line="312" w:lineRule="auto"/>
              <w:ind w:firstLine="241" w:firstLineChars="1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highlight w:val="none"/>
              </w:rPr>
              <w:t>响应文件正本壹份，副本贰份；（实质性要求）</w:t>
            </w:r>
          </w:p>
        </w:tc>
      </w:tr>
      <w:tr w14:paraId="7894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93" w:type="dxa"/>
            <w:noWrap w:val="0"/>
            <w:vAlign w:val="center"/>
          </w:tcPr>
          <w:p w14:paraId="060A984B">
            <w:pPr>
              <w:pStyle w:val="27"/>
              <w:snapToGrid w:val="0"/>
              <w:spacing w:line="312" w:lineRule="auto"/>
              <w:jc w:val="center"/>
              <w:rPr>
                <w:rFonts w:ascii="仿宋" w:hAnsi="仿宋" w:eastAsia="仿宋" w:cs="仿宋"/>
                <w:color w:val="auto"/>
                <w:highlight w:val="none"/>
              </w:rPr>
            </w:pPr>
            <w:r>
              <w:rPr>
                <w:rFonts w:hint="eastAsia" w:ascii="仿宋" w:hAnsi="仿宋" w:eastAsia="仿宋" w:cs="仿宋"/>
                <w:color w:val="auto"/>
                <w:highlight w:val="none"/>
              </w:rPr>
              <w:t>17</w:t>
            </w:r>
          </w:p>
        </w:tc>
        <w:tc>
          <w:tcPr>
            <w:tcW w:w="2308" w:type="dxa"/>
            <w:noWrap w:val="0"/>
            <w:vAlign w:val="center"/>
          </w:tcPr>
          <w:p w14:paraId="0F77D0DB">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磋商保证金</w:t>
            </w:r>
          </w:p>
          <w:p w14:paraId="5EC7F65B">
            <w:pPr>
              <w:pStyle w:val="27"/>
              <w:snapToGrid w:val="0"/>
              <w:spacing w:line="312" w:lineRule="auto"/>
              <w:ind w:left="38"/>
              <w:jc w:val="center"/>
              <w:rPr>
                <w:rFonts w:hint="eastAsia" w:ascii="仿宋" w:hAnsi="仿宋" w:eastAsia="仿宋" w:cs="仿宋"/>
                <w:color w:val="auto"/>
                <w:highlight w:val="none"/>
              </w:rPr>
            </w:pPr>
            <w:r>
              <w:rPr>
                <w:rFonts w:hint="eastAsia" w:ascii="仿宋" w:hAnsi="仿宋" w:eastAsia="仿宋" w:cs="仿宋"/>
                <w:b/>
                <w:bCs/>
                <w:color w:val="auto"/>
                <w:highlight w:val="none"/>
              </w:rPr>
              <w:t>（实质性要求）</w:t>
            </w:r>
          </w:p>
        </w:tc>
        <w:tc>
          <w:tcPr>
            <w:tcW w:w="5767" w:type="dxa"/>
            <w:noWrap w:val="0"/>
            <w:vAlign w:val="center"/>
          </w:tcPr>
          <w:p w14:paraId="3A6B9384">
            <w:pPr>
              <w:pStyle w:val="27"/>
              <w:snapToGrid w:val="0"/>
              <w:spacing w:line="312" w:lineRule="auto"/>
              <w:ind w:firstLine="240" w:firstLineChars="100"/>
              <w:jc w:val="both"/>
              <w:rPr>
                <w:rFonts w:ascii="仿宋" w:hAnsi="仿宋" w:eastAsia="仿宋" w:cs="仿宋"/>
                <w:color w:val="auto"/>
                <w:highlight w:val="none"/>
              </w:rPr>
            </w:pPr>
            <w:r>
              <w:rPr>
                <w:rFonts w:hint="eastAsia" w:ascii="仿宋" w:hAnsi="仿宋" w:eastAsia="仿宋" w:cs="仿宋"/>
                <w:color w:val="auto"/>
                <w:highlight w:val="none"/>
                <w:lang w:val="zh-CN"/>
              </w:rPr>
              <w:t>本项目不收取</w:t>
            </w:r>
          </w:p>
        </w:tc>
      </w:tr>
      <w:tr w14:paraId="431E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BA9D4F6">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rPr>
              <w:t>1</w:t>
            </w:r>
            <w:r>
              <w:rPr>
                <w:rFonts w:hint="eastAsia" w:ascii="仿宋" w:hAnsi="仿宋" w:eastAsia="仿宋" w:cs="仿宋"/>
                <w:color w:val="auto"/>
                <w:highlight w:val="none"/>
              </w:rPr>
              <w:t>8</w:t>
            </w:r>
          </w:p>
        </w:tc>
        <w:tc>
          <w:tcPr>
            <w:tcW w:w="2308" w:type="dxa"/>
            <w:noWrap w:val="0"/>
            <w:vAlign w:val="center"/>
          </w:tcPr>
          <w:p w14:paraId="3E87F2C1">
            <w:pPr>
              <w:pStyle w:val="27"/>
              <w:snapToGrid w:val="0"/>
              <w:spacing w:line="312" w:lineRule="auto"/>
              <w:ind w:left="38"/>
              <w:jc w:val="center"/>
              <w:rPr>
                <w:rFonts w:hint="eastAsia" w:ascii="仿宋" w:hAnsi="仿宋" w:eastAsia="仿宋" w:cs="仿宋"/>
                <w:color w:val="auto"/>
                <w:highlight w:val="none"/>
              </w:rPr>
            </w:pPr>
            <w:r>
              <w:rPr>
                <w:rFonts w:hint="eastAsia" w:ascii="仿宋" w:hAnsi="仿宋" w:eastAsia="仿宋" w:cs="仿宋"/>
                <w:b/>
                <w:bCs/>
                <w:color w:val="auto"/>
                <w:highlight w:val="none"/>
                <w:lang w:val="zh-CN"/>
              </w:rPr>
              <w:t>履约保证金</w:t>
            </w: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zh-CN"/>
              </w:rPr>
              <w:t>（</w:t>
            </w:r>
            <w:r>
              <w:rPr>
                <w:rFonts w:hint="eastAsia" w:ascii="仿宋" w:hAnsi="仿宋" w:eastAsia="仿宋" w:cs="仿宋"/>
                <w:b/>
                <w:bCs/>
                <w:color w:val="auto"/>
                <w:highlight w:val="none"/>
              </w:rPr>
              <w:t>实质性要求）</w:t>
            </w:r>
          </w:p>
        </w:tc>
        <w:tc>
          <w:tcPr>
            <w:tcW w:w="5767" w:type="dxa"/>
            <w:noWrap w:val="0"/>
            <w:vAlign w:val="center"/>
          </w:tcPr>
          <w:p w14:paraId="4E7C7EDA">
            <w:pPr>
              <w:pStyle w:val="28"/>
              <w:snapToGrid w:val="0"/>
              <w:spacing w:line="312"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本项目不收取</w:t>
            </w:r>
          </w:p>
        </w:tc>
      </w:tr>
      <w:tr w14:paraId="1DD7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1E26D318">
            <w:pPr>
              <w:pStyle w:val="27"/>
              <w:snapToGrid w:val="0"/>
              <w:spacing w:line="312" w:lineRule="auto"/>
              <w:jc w:val="center"/>
              <w:rPr>
                <w:rFonts w:ascii="仿宋" w:hAnsi="仿宋" w:eastAsia="仿宋" w:cs="仿宋"/>
                <w:color w:val="auto"/>
                <w:highlight w:val="none"/>
              </w:rPr>
            </w:pPr>
            <w:r>
              <w:rPr>
                <w:rFonts w:hint="eastAsia" w:ascii="仿宋" w:hAnsi="仿宋" w:eastAsia="仿宋" w:cs="仿宋"/>
                <w:color w:val="auto"/>
                <w:highlight w:val="none"/>
              </w:rPr>
              <w:t>19</w:t>
            </w:r>
          </w:p>
        </w:tc>
        <w:tc>
          <w:tcPr>
            <w:tcW w:w="2308" w:type="dxa"/>
            <w:noWrap w:val="0"/>
            <w:vAlign w:val="center"/>
          </w:tcPr>
          <w:p w14:paraId="685DDEE3">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bCs/>
                <w:color w:val="auto"/>
                <w:highlight w:val="none"/>
              </w:rPr>
              <w:t>磋商</w:t>
            </w:r>
            <w:r>
              <w:rPr>
                <w:rFonts w:hint="eastAsia" w:ascii="仿宋" w:hAnsi="仿宋" w:eastAsia="仿宋" w:cs="仿宋"/>
                <w:color w:val="auto"/>
                <w:highlight w:val="none"/>
                <w:lang w:val="zh-CN"/>
              </w:rPr>
              <w:t>文件、过程、结果工作咨询</w:t>
            </w:r>
          </w:p>
        </w:tc>
        <w:tc>
          <w:tcPr>
            <w:tcW w:w="5767" w:type="dxa"/>
            <w:noWrap w:val="0"/>
            <w:vAlign w:val="center"/>
          </w:tcPr>
          <w:p w14:paraId="6B016B0E">
            <w:pPr>
              <w:pStyle w:val="27"/>
              <w:snapToGrid w:val="0"/>
              <w:spacing w:line="312" w:lineRule="auto"/>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联系人：廖老师</w:t>
            </w:r>
          </w:p>
          <w:p w14:paraId="4331F93B">
            <w:pPr>
              <w:pStyle w:val="27"/>
              <w:snapToGrid w:val="0"/>
              <w:spacing w:line="312" w:lineRule="auto"/>
              <w:ind w:firstLine="240" w:firstLineChars="1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zh-CN"/>
              </w:rPr>
              <w:t>联系电话：</w:t>
            </w:r>
            <w:r>
              <w:rPr>
                <w:rFonts w:hint="eastAsia" w:ascii="仿宋" w:hAnsi="仿宋" w:eastAsia="仿宋" w:cs="仿宋"/>
                <w:color w:val="auto"/>
                <w:highlight w:val="none"/>
                <w:lang w:val="en-US" w:eastAsia="zh-CN"/>
              </w:rPr>
              <w:t>19934051614</w:t>
            </w:r>
          </w:p>
        </w:tc>
      </w:tr>
      <w:tr w14:paraId="73BF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7D137B1">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2308" w:type="dxa"/>
            <w:noWrap w:val="0"/>
            <w:vAlign w:val="center"/>
          </w:tcPr>
          <w:p w14:paraId="25F3D9A2">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成交通知书领取</w:t>
            </w:r>
          </w:p>
        </w:tc>
        <w:tc>
          <w:tcPr>
            <w:tcW w:w="5767" w:type="dxa"/>
            <w:noWrap w:val="0"/>
            <w:vAlign w:val="center"/>
          </w:tcPr>
          <w:p w14:paraId="1BC40D1F">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采购结果公告在</w:t>
            </w:r>
            <w:r>
              <w:rPr>
                <w:rFonts w:hint="eastAsia" w:ascii="仿宋" w:hAnsi="仿宋" w:eastAsia="仿宋" w:cs="仿宋"/>
                <w:color w:val="auto"/>
                <w:highlight w:val="none"/>
                <w:lang w:eastAsia="zh-CN"/>
              </w:rPr>
              <w:t>汉源县中医医院官网（https://www.hyxzyy.cn/）</w:t>
            </w:r>
            <w:r>
              <w:rPr>
                <w:rFonts w:hint="eastAsia" w:ascii="仿宋" w:hAnsi="仿宋" w:eastAsia="仿宋" w:cs="仿宋"/>
                <w:color w:val="auto"/>
                <w:highlight w:val="none"/>
              </w:rPr>
              <w:t>上公告当日，</w:t>
            </w:r>
            <w:r>
              <w:rPr>
                <w:rFonts w:hint="eastAsia" w:ascii="仿宋" w:hAnsi="仿宋" w:eastAsia="仿宋" w:cs="仿宋"/>
                <w:color w:val="auto"/>
                <w:highlight w:val="none"/>
                <w:lang w:eastAsia="zh-CN"/>
              </w:rPr>
              <w:t>同时发送</w:t>
            </w:r>
            <w:r>
              <w:rPr>
                <w:rFonts w:hint="eastAsia" w:ascii="仿宋" w:hAnsi="仿宋" w:eastAsia="仿宋" w:cs="仿宋"/>
                <w:color w:val="auto"/>
                <w:highlight w:val="none"/>
              </w:rPr>
              <w:t>《成交通知书》。</w:t>
            </w:r>
          </w:p>
        </w:tc>
      </w:tr>
      <w:tr w14:paraId="23DB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2C90974B">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2308" w:type="dxa"/>
            <w:noWrap w:val="0"/>
            <w:vAlign w:val="center"/>
          </w:tcPr>
          <w:p w14:paraId="47CD90EE">
            <w:pPr>
              <w:pStyle w:val="27"/>
              <w:snapToGrid w:val="0"/>
              <w:spacing w:line="312" w:lineRule="auto"/>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供应商对采购文件</w:t>
            </w:r>
            <w:r>
              <w:rPr>
                <w:rFonts w:hint="eastAsia" w:ascii="仿宋" w:hAnsi="仿宋" w:eastAsia="仿宋" w:cs="仿宋"/>
                <w:color w:val="auto"/>
                <w:kern w:val="2"/>
                <w:highlight w:val="none"/>
              </w:rPr>
              <w:t>资格要求、采购需求以及评分办法内容提出的质疑</w:t>
            </w:r>
          </w:p>
        </w:tc>
        <w:tc>
          <w:tcPr>
            <w:tcW w:w="5767" w:type="dxa"/>
            <w:noWrap w:val="0"/>
            <w:vAlign w:val="center"/>
          </w:tcPr>
          <w:p w14:paraId="3EF688C9">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提出质疑时间：采购文件公告期限届满之日起七个工作日内一次性提出。</w:t>
            </w:r>
          </w:p>
          <w:p w14:paraId="09C5625D">
            <w:pPr>
              <w:pStyle w:val="27"/>
              <w:snapToGrid w:val="0"/>
              <w:spacing w:line="312" w:lineRule="auto"/>
              <w:jc w:val="both"/>
              <w:rPr>
                <w:rFonts w:hint="eastAsia" w:ascii="仿宋" w:hAnsi="仿宋" w:eastAsia="仿宋" w:cs="仿宋"/>
                <w:color w:val="auto"/>
                <w:highlight w:val="none"/>
                <w:lang w:val="zh-CN"/>
              </w:rPr>
            </w:pPr>
          </w:p>
        </w:tc>
      </w:tr>
      <w:tr w14:paraId="2837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EA9DDF2">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22</w:t>
            </w:r>
          </w:p>
        </w:tc>
        <w:tc>
          <w:tcPr>
            <w:tcW w:w="2308" w:type="dxa"/>
            <w:noWrap w:val="0"/>
            <w:vAlign w:val="center"/>
          </w:tcPr>
          <w:p w14:paraId="3D4E4984">
            <w:pPr>
              <w:pStyle w:val="27"/>
              <w:snapToGrid w:val="0"/>
              <w:spacing w:line="312" w:lineRule="auto"/>
              <w:ind w:left="96"/>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备注</w:t>
            </w:r>
          </w:p>
        </w:tc>
        <w:tc>
          <w:tcPr>
            <w:tcW w:w="5767" w:type="dxa"/>
            <w:noWrap w:val="0"/>
            <w:vAlign w:val="center"/>
          </w:tcPr>
          <w:p w14:paraId="5D695874">
            <w:pPr>
              <w:numPr>
                <w:ilvl w:val="0"/>
                <w:numId w:val="8"/>
              </w:numPr>
              <w:adjustRightInd w:val="0"/>
              <w:snapToGrid w:val="0"/>
              <w:spacing w:line="312"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磋商文件中编制的内容前后有矛盾或不一致时，相关法律法规、规范性文件和强制性标准（认证）有专门规定的，以符合相关法律法规、规范性文件和强制性标准（认证）的为准；有时间先后顺序的，以时间在后的修改、澄清为准；没有时间先后顺序的，以供应商须知附表为准。</w:t>
            </w:r>
          </w:p>
          <w:p w14:paraId="765B0345">
            <w:pPr>
              <w:numPr>
                <w:ilvl w:val="0"/>
                <w:numId w:val="8"/>
              </w:numPr>
              <w:adjustRightInd w:val="0"/>
              <w:snapToGrid w:val="0"/>
              <w:spacing w:line="312"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磋商文件中如涉及企业资质、产品认证、人员执业资格等描述与国家最新要求不一致时以最新要求为准。  </w:t>
            </w:r>
          </w:p>
          <w:p w14:paraId="6F5155AD">
            <w:pPr>
              <w:adjustRightInd w:val="0"/>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3、本项目为非政府采购项目，采购文件中所有涉及政府采购相关内容均为参照执行，最终解释权归</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所有。</w:t>
            </w:r>
          </w:p>
        </w:tc>
      </w:tr>
    </w:tbl>
    <w:p w14:paraId="232BF8F1">
      <w:pPr>
        <w:widowControl/>
        <w:snapToGrid w:val="0"/>
        <w:spacing w:line="312" w:lineRule="auto"/>
        <w:jc w:val="left"/>
        <w:rPr>
          <w:rFonts w:hint="eastAsia" w:ascii="仿宋" w:hAnsi="仿宋" w:eastAsia="仿宋" w:cs="仿宋"/>
          <w:b/>
          <w:bCs/>
          <w:color w:val="auto"/>
          <w:kern w:val="0"/>
          <w:sz w:val="32"/>
          <w:szCs w:val="32"/>
          <w:highlight w:val="none"/>
          <w:lang w:val="zh-CN"/>
        </w:rPr>
      </w:pPr>
    </w:p>
    <w:p w14:paraId="5F33B016">
      <w:pPr>
        <w:pStyle w:val="3"/>
        <w:keepLines w:val="0"/>
        <w:snapToGrid w:val="0"/>
        <w:spacing w:before="0" w:after="0"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二、总则</w:t>
      </w:r>
      <w:bookmarkStart w:id="13" w:name="_Toc183582205"/>
      <w:bookmarkStart w:id="14" w:name="_Toc183682342"/>
      <w:bookmarkStart w:id="15" w:name="_Toc217446034"/>
    </w:p>
    <w:p w14:paraId="27D6D7C7">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End w:id="13"/>
      <w:bookmarkEnd w:id="14"/>
      <w:r>
        <w:rPr>
          <w:rFonts w:hint="eastAsia" w:ascii="仿宋" w:hAnsi="仿宋" w:eastAsia="仿宋" w:cs="仿宋"/>
          <w:color w:val="auto"/>
          <w:sz w:val="24"/>
          <w:szCs w:val="24"/>
          <w:highlight w:val="none"/>
        </w:rPr>
        <w:t>适用范围</w:t>
      </w:r>
      <w:bookmarkEnd w:id="15"/>
    </w:p>
    <w:p w14:paraId="213BDD70">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本磋商文件仅适用于本次磋商所叙述的服务采购。</w:t>
      </w:r>
    </w:p>
    <w:p w14:paraId="5D7E912F">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本磋商文件的解释权归采购人所有。</w:t>
      </w:r>
    </w:p>
    <w:p w14:paraId="65638C5C">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bookmarkStart w:id="16" w:name="_Toc183682343"/>
      <w:bookmarkStart w:id="17" w:name="_Toc217446035"/>
      <w:bookmarkStart w:id="18" w:name="_Toc183582206"/>
      <w:r>
        <w:rPr>
          <w:rFonts w:hint="eastAsia" w:ascii="仿宋" w:hAnsi="仿宋" w:eastAsia="仿宋" w:cs="仿宋"/>
          <w:color w:val="auto"/>
          <w:sz w:val="24"/>
          <w:highlight w:val="none"/>
        </w:rPr>
        <w:t>2.</w:t>
      </w:r>
      <w:bookmarkEnd w:id="16"/>
      <w:bookmarkEnd w:id="17"/>
      <w:bookmarkEnd w:id="18"/>
      <w:r>
        <w:rPr>
          <w:rFonts w:hint="eastAsia" w:ascii="仿宋" w:hAnsi="仿宋" w:eastAsia="仿宋" w:cs="仿宋"/>
          <w:color w:val="auto"/>
          <w:sz w:val="24"/>
          <w:highlight w:val="none"/>
          <w:lang w:val="en-US"/>
        </w:rPr>
        <w:t>有关定义</w:t>
      </w:r>
    </w:p>
    <w:p w14:paraId="7895DFD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2.1本次磋商的采购人是</w:t>
      </w:r>
      <w:r>
        <w:rPr>
          <w:rFonts w:hint="eastAsia" w:ascii="仿宋" w:hAnsi="仿宋" w:eastAsia="仿宋" w:cs="仿宋"/>
          <w:color w:val="auto"/>
          <w:sz w:val="24"/>
          <w:highlight w:val="none"/>
          <w:u w:val="single"/>
        </w:rPr>
        <w:t>汉源县中医医院</w:t>
      </w:r>
      <w:r>
        <w:rPr>
          <w:rFonts w:hint="eastAsia" w:ascii="仿宋" w:hAnsi="仿宋" w:eastAsia="仿宋" w:cs="仿宋"/>
          <w:color w:val="auto"/>
          <w:sz w:val="24"/>
          <w:highlight w:val="none"/>
        </w:rPr>
        <w:t>。</w:t>
      </w:r>
    </w:p>
    <w:p w14:paraId="6D8C83B7">
      <w:pPr>
        <w:tabs>
          <w:tab w:val="left" w:pos="7665"/>
        </w:tabs>
        <w:snapToGrid w:val="0"/>
        <w:spacing w:line="312" w:lineRule="auto"/>
        <w:ind w:firstLine="464" w:firstLineChars="200"/>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2.2</w:t>
      </w:r>
      <w:bookmarkStart w:id="19" w:name="_Toc217446036"/>
      <w:bookmarkStart w:id="20" w:name="_Toc217390843"/>
      <w:bookmarkStart w:id="21" w:name="_Toc183582207"/>
      <w:bookmarkStart w:id="22" w:name="_Toc183682344"/>
      <w:r>
        <w:rPr>
          <w:rFonts w:hint="eastAsia" w:ascii="仿宋" w:hAnsi="仿宋" w:eastAsia="仿宋" w:cs="仿宋"/>
          <w:color w:val="auto"/>
          <w:sz w:val="24"/>
          <w:highlight w:val="none"/>
        </w:rPr>
        <w:t>本磋商文件要求供应商提交的原件，是指原始件（即：资料生成时的原始形态，包括所加盖的印章、相关人员签字笔迹等均是原始印痕、印迹和笔迹。）</w:t>
      </w:r>
    </w:p>
    <w:p w14:paraId="15423953">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本磋商文件所称“鲜章”，是指加盖的印章原始印痕（印迹），即把印章直接在纸页上盖出的印痕（印迹）。无特殊说明，本磋商文件凡是要求 “供应商盖章”的地方，均应加盖供应商的“行政公章”，不得使用专用印章（如合同章、税务专用章、投标专用章等）或下属单位印章代替。</w:t>
      </w:r>
    </w:p>
    <w:p w14:paraId="4752BEE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本磋商文件所称“书面形式”，</w:t>
      </w:r>
      <w:r>
        <w:rPr>
          <w:rFonts w:hint="eastAsia" w:ascii="仿宋" w:hAnsi="仿宋" w:eastAsia="仿宋" w:cs="仿宋"/>
          <w:color w:val="auto"/>
          <w:spacing w:val="-4"/>
          <w:sz w:val="24"/>
          <w:highlight w:val="none"/>
        </w:rPr>
        <w:t>是指合同书、信件、电报、电传、传真等可以有形地表现所载内容的形式，以及电子数据交换、电子邮件等能够有形地表现所载内容，并可以随时调取查用的数据电文，视为书面形式。</w:t>
      </w:r>
    </w:p>
    <w:p w14:paraId="6A1008C6">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本磋商文件各部分规定的期间以时、日、月、年计算。期间开始的时和日，不计算在期间内，而从次日开始计算。期间届满的最后一天是节假日的，以节假日后的第一日为期间届满的日期。</w:t>
      </w:r>
    </w:p>
    <w:p w14:paraId="141E8120">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本磋商文件各部分规定的“以上”、“以下”、“内”、“以内”、“届满”，包括本数；所称的“不足”、“不满”、“超过”、“以外”，不包括本数。</w:t>
      </w:r>
    </w:p>
    <w:p w14:paraId="36A48C0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磋商文件各部分中</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highlight w:val="none"/>
        </w:rPr>
        <w:t>系指适用本项目的要求，</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highlight w:val="none"/>
        </w:rPr>
        <w:t>指不适用本项目的要求。</w:t>
      </w:r>
    </w:p>
    <w:bookmarkEnd w:id="19"/>
    <w:bookmarkEnd w:id="20"/>
    <w:bookmarkEnd w:id="21"/>
    <w:bookmarkEnd w:id="22"/>
    <w:p w14:paraId="478B7F4C">
      <w:pPr>
        <w:pStyle w:val="29"/>
        <w:snapToGrid w:val="0"/>
        <w:spacing w:line="312" w:lineRule="auto"/>
        <w:ind w:firstLine="482" w:firstLineChars="200"/>
        <w:outlineLvl w:val="2"/>
        <w:rPr>
          <w:rFonts w:hint="eastAsia" w:ascii="仿宋" w:hAnsi="仿宋" w:eastAsia="仿宋" w:cs="仿宋"/>
          <w:color w:val="auto"/>
          <w:sz w:val="24"/>
          <w:highlight w:val="none"/>
        </w:rPr>
      </w:pPr>
      <w:bookmarkStart w:id="23" w:name="_Toc183582208"/>
      <w:bookmarkStart w:id="24" w:name="_Toc183682345"/>
      <w:bookmarkStart w:id="25" w:name="_Toc217446037"/>
      <w:r>
        <w:rPr>
          <w:rFonts w:hint="eastAsia" w:ascii="仿宋" w:hAnsi="仿宋" w:eastAsia="仿宋" w:cs="仿宋"/>
          <w:b/>
          <w:bCs/>
          <w:color w:val="auto"/>
          <w:sz w:val="24"/>
          <w:highlight w:val="none"/>
        </w:rPr>
        <w:t>3.合格的供应商和报价产品</w:t>
      </w:r>
    </w:p>
    <w:p w14:paraId="2C08182C">
      <w:pPr>
        <w:tabs>
          <w:tab w:val="left" w:pos="7665"/>
        </w:tabs>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3.1合格的供应商：</w:t>
      </w:r>
    </w:p>
    <w:p w14:paraId="5D7A1A4F">
      <w:pPr>
        <w:tabs>
          <w:tab w:val="left" w:pos="7665"/>
        </w:tabs>
        <w:snapToGrid w:val="0"/>
        <w:spacing w:line="312" w:lineRule="auto"/>
        <w:ind w:firstLine="480" w:firstLineChars="200"/>
        <w:rPr>
          <w:rFonts w:hint="eastAsia" w:ascii="仿宋" w:hAnsi="仿宋" w:eastAsia="仿宋" w:cs="仿宋"/>
          <w:color w:val="auto"/>
          <w:spacing w:val="-4"/>
          <w:sz w:val="24"/>
          <w:highlight w:val="none"/>
        </w:rPr>
      </w:pPr>
      <w:r>
        <w:rPr>
          <w:rFonts w:hint="eastAsia" w:ascii="仿宋" w:hAnsi="仿宋" w:eastAsia="仿宋" w:cs="仿宋"/>
          <w:color w:val="auto"/>
          <w:sz w:val="24"/>
          <w:highlight w:val="none"/>
        </w:rPr>
        <w:t>（1）具备法律法规和本采购文件规定的资格条件</w:t>
      </w:r>
      <w:r>
        <w:rPr>
          <w:rFonts w:hint="eastAsia" w:ascii="仿宋" w:hAnsi="仿宋" w:eastAsia="仿宋" w:cs="仿宋"/>
          <w:color w:val="auto"/>
          <w:spacing w:val="-4"/>
          <w:sz w:val="24"/>
          <w:highlight w:val="none"/>
        </w:rPr>
        <w:t>；</w:t>
      </w:r>
    </w:p>
    <w:p w14:paraId="7523C87B">
      <w:pPr>
        <w:tabs>
          <w:tab w:val="left" w:pos="7665"/>
        </w:tabs>
        <w:snapToGrid w:val="0"/>
        <w:spacing w:line="312" w:lineRule="auto"/>
        <w:ind w:firstLine="464"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（2）不属于禁止参加本项目采购活动的供应商；</w:t>
      </w:r>
    </w:p>
    <w:p w14:paraId="4B2A92A2">
      <w:pPr>
        <w:tabs>
          <w:tab w:val="left" w:pos="7665"/>
        </w:tabs>
        <w:snapToGrid w:val="0"/>
        <w:spacing w:line="312" w:lineRule="auto"/>
        <w:ind w:firstLine="464" w:firstLineChars="200"/>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（3） 按照规定</w:t>
      </w:r>
      <w:r>
        <w:rPr>
          <w:rFonts w:hint="eastAsia" w:ascii="仿宋" w:hAnsi="仿宋" w:eastAsia="仿宋" w:cs="仿宋"/>
          <w:color w:val="auto"/>
          <w:sz w:val="24"/>
          <w:highlight w:val="none"/>
        </w:rPr>
        <w:t>获取了磋商文件。</w:t>
      </w:r>
    </w:p>
    <w:p w14:paraId="104C0AB8">
      <w:pPr>
        <w:tabs>
          <w:tab w:val="left" w:pos="7665"/>
        </w:tabs>
        <w:snapToGrid w:val="0"/>
        <w:spacing w:line="312"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sz w:val="24"/>
          <w:highlight w:val="none"/>
        </w:rPr>
        <w:t>3.2合格的报价产品（如有）：</w:t>
      </w:r>
    </w:p>
    <w:p w14:paraId="732F785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（1）参加政府采购所报价的产品，必须是合法生产厂家生产的合格产品，产品涉及到第三方知识产权的，必须是已依法获得了该知识产权，不得存在侵犯知识产权的问题；</w:t>
      </w:r>
    </w:p>
    <w:p w14:paraId="405F01D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（2）若报价产品为需要安装软件才能正常工作的，供应商必须提供正版软件安装使用，不得安装使用盗版软件；</w:t>
      </w:r>
    </w:p>
    <w:p w14:paraId="2D077281">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非磋商文件要求采购进口设备，否则只能用国内产品响应；磋商文件中明确规定可以采购进口产品的，若因信息不对称等原因，国内产品的质量、技术和服务均能满足需求，按照公平竞争原则，可以参与采购竞争。</w:t>
      </w:r>
    </w:p>
    <w:p w14:paraId="6AA7501F">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4.磋商费用</w:t>
      </w:r>
      <w:bookmarkEnd w:id="23"/>
      <w:bookmarkEnd w:id="24"/>
      <w:bookmarkEnd w:id="25"/>
    </w:p>
    <w:p w14:paraId="60F79B6D">
      <w:pPr>
        <w:tabs>
          <w:tab w:val="left" w:pos="7665"/>
        </w:tabs>
        <w:snapToGrid w:val="0"/>
        <w:spacing w:line="312"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供应商应自行承担参加磋商活动的全部费用。</w:t>
      </w:r>
    </w:p>
    <w:p w14:paraId="47835522">
      <w:pPr>
        <w:pStyle w:val="29"/>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5.充分、公平竞争保障措施（实质性要求）</w:t>
      </w:r>
    </w:p>
    <w:p w14:paraId="0BB3556C">
      <w:pPr>
        <w:pStyle w:val="28"/>
        <w:adjustRightInd/>
        <w:snapToGrid w:val="0"/>
        <w:spacing w:line="312" w:lineRule="auto"/>
        <w:ind w:left="1" w:firstLine="4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5.1利害关系供应商处理。单位负责人为同一人或者存在直接控股、管理关系的不同供应商不得参加同一合同项下的政府采购活动。</w:t>
      </w:r>
    </w:p>
    <w:p w14:paraId="601748E9">
      <w:pPr>
        <w:snapToGrid w:val="0"/>
        <w:spacing w:line="312"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b/>
          <w:bCs/>
          <w:color w:val="auto"/>
          <w:sz w:val="24"/>
          <w:highlight w:val="none"/>
        </w:rPr>
        <w:t>利害关系授权代表处理。两家以上的供应商不得在同一合同项下的采购项目中，委托同一个自然人、同一单位作为其授权代表，否则，其响应文件作为无效处理。</w:t>
      </w:r>
    </w:p>
    <w:p w14:paraId="0F0A637B">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2AA7626C">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5.4供应商实际控制人或者中高级管理人员，同时是采购代理机构工作人员，不得参与本项目政府采购活动。</w:t>
      </w:r>
    </w:p>
    <w:p w14:paraId="111C793D">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5.5供应商与采购代理机构存在关联关系，或者是采购代理机构的母公司或子公司，不得参加本项目政府采购活动。</w:t>
      </w:r>
    </w:p>
    <w:p w14:paraId="44625526">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5.6回避。政府采购活动中，采购人员及相关人员与供应商有下列利害关系之一的，应当回避：</w:t>
      </w:r>
    </w:p>
    <w:p w14:paraId="0EF692CE">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（1）参加采购活动前3年内与供应商存在劳动关系；</w:t>
      </w:r>
    </w:p>
    <w:p w14:paraId="3C290D1C">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（2）参加采购活动前3年内担任供应商的董事、监事；</w:t>
      </w:r>
    </w:p>
    <w:p w14:paraId="11787B96">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（3）参加采购活动前3年内是供应商的控股股东或者实际控制人；</w:t>
      </w:r>
    </w:p>
    <w:p w14:paraId="756F0FAA">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（4）与供应商的法定代表人或者</w:t>
      </w:r>
      <w:r>
        <w:rPr>
          <w:rFonts w:hint="eastAsia" w:ascii="仿宋" w:hAnsi="仿宋" w:eastAsia="仿宋" w:cs="仿宋"/>
          <w:color w:val="auto"/>
          <w:sz w:val="24"/>
          <w:highlight w:val="none"/>
        </w:rPr>
        <w:t>单位负责人</w:t>
      </w:r>
      <w:r>
        <w:rPr>
          <w:rFonts w:hint="eastAsia" w:ascii="仿宋" w:hAnsi="仿宋" w:eastAsia="仿宋" w:cs="仿宋"/>
          <w:bCs/>
          <w:color w:val="auto"/>
          <w:sz w:val="24"/>
          <w:highlight w:val="none"/>
        </w:rPr>
        <w:t>有夫妻、直系血亲、三代以内旁系血亲或者近姻亲关系；</w:t>
      </w:r>
    </w:p>
    <w:p w14:paraId="2F1CD197">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（5）与供应商有其他可能影响政府采购活动公平、公正进行的关系。</w:t>
      </w:r>
    </w:p>
    <w:p w14:paraId="78CD179E">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4BCEDA49">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1A0881F0">
      <w:pPr>
        <w:pStyle w:val="28"/>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6.联合体竞争性磋商（本项目不涉及）</w:t>
      </w:r>
    </w:p>
    <w:p w14:paraId="210DB4ED">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 两个以上供应商可以组成一个联合体竞争性磋商，以一个供应商的身份竞争性磋商（是否接受联合体以供应商须知前附表为准）。以联合体形式参加投标的，参加联合体的供应商均应当具备《中华人民共和国政府采购法》第二十二条规定的条件，采购人根据采购项目的特殊要求规定供应商特定条件的，联合体应符合文件规定的特定条件。</w:t>
      </w:r>
    </w:p>
    <w:p w14:paraId="7008725E">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 联合体各方之间应当签订联合体竞争性磋商协议，明确约定联合体各方承担的工作和相应的责任。联合体参与竞争性磋商的，应在响应文件中提供联合体协议。</w:t>
      </w:r>
    </w:p>
    <w:p w14:paraId="37C3F973">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 联合体应当确定其中一个单位为竞争性磋商的全权代表，负责参加竞争性磋商的一切事务。</w:t>
      </w:r>
    </w:p>
    <w:p w14:paraId="4C49BB6D">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 联合体各方应当共同与采购人签订采购合同，就采购合同约定的事项对采购人承担连带责任。</w:t>
      </w:r>
    </w:p>
    <w:p w14:paraId="167AFE96">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6.5联合体中有同类资质的供应商按照联合体分工承担相同工作的，将按照资质等级较低的供应商确定资质等级。</w:t>
      </w:r>
    </w:p>
    <w:p w14:paraId="4EA87E00">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以联合体形式参加政府采购活动的，联合体各方不得再单独参加或者与其他供应商另外组成联合体参加同一合同项下的政府采购活动。联合体各方以自己的名义参加同一合同项下政府采购活动的，联合体及联合体各方的响应均无效；联合体各方又与其他供应商组成新的联合体，参加同一合同项下政府采购活动的，相关联合体响应均无效。</w:t>
      </w:r>
    </w:p>
    <w:p w14:paraId="7B8E794C">
      <w:pPr>
        <w:pStyle w:val="4"/>
        <w:keepLines w:val="0"/>
        <w:snapToGrid w:val="0"/>
        <w:spacing w:before="0" w:after="0" w:line="312" w:lineRule="auto"/>
        <w:ind w:firstLine="482"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7.磋商保证金（</w:t>
      </w:r>
      <w:r>
        <w:rPr>
          <w:rFonts w:hint="eastAsia" w:ascii="仿宋" w:hAnsi="仿宋" w:eastAsia="仿宋" w:cs="仿宋"/>
          <w:b/>
          <w:color w:val="auto"/>
          <w:sz w:val="24"/>
          <w:highlight w:val="none"/>
        </w:rPr>
        <w:t>本项目不涉及</w:t>
      </w:r>
      <w:r>
        <w:rPr>
          <w:rFonts w:hint="eastAsia" w:ascii="仿宋" w:hAnsi="仿宋" w:eastAsia="仿宋" w:cs="仿宋"/>
          <w:bCs/>
          <w:color w:val="auto"/>
          <w:sz w:val="24"/>
          <w:highlight w:val="none"/>
        </w:rPr>
        <w:t>）</w:t>
      </w:r>
    </w:p>
    <w:p w14:paraId="3153BB0D">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7.1 供应商必须以人民币为计量单位提交磋商文件规定数额的磋商保证金，并作为其响应的一部分。联合体磋商的，可以由联合体的一方或者共同提交磋商保证金，以一方名义提交磋商保证金的，对联合体各方均具有约束力。</w:t>
      </w:r>
    </w:p>
    <w:p w14:paraId="4FC3E0A7">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7.2 未按磋商文件要求在规定时间前交纳规定数额磋商保证金的响应文件无效。</w:t>
      </w:r>
    </w:p>
    <w:p w14:paraId="15F7CBF5">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7.3 供应商所交纳的磋商保证金不计利息。</w:t>
      </w:r>
    </w:p>
    <w:p w14:paraId="6BD9A91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7.4 未成交供应商的磋商保证金，将在成交通知书发出后五个工作日内全额退还。成交供应商的磋商保证金，在合同签订生效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14:paraId="313D8B1B">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7.5发生下列情形之一的，采购代理机构将不予退还磋商保证金：</w:t>
      </w:r>
    </w:p>
    <w:p w14:paraId="67376452">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（1）在磋商文件规定的递交响应文件截止时间后撤回响应文件的；</w:t>
      </w:r>
    </w:p>
    <w:p w14:paraId="511B26C9">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（2）在采购人确定成交供应商之前放弃成交候选资格的；</w:t>
      </w:r>
    </w:p>
    <w:p w14:paraId="272C93A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（3）成交后放弃、不领取或者不接收成交通知书的；</w:t>
      </w:r>
    </w:p>
    <w:p w14:paraId="5800A87A">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（4）由于成交供应商的原因未能按照磋商文件的规定与采购人签订合同的；</w:t>
      </w:r>
    </w:p>
    <w:p w14:paraId="20BB680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（5）由于成交供应商的原因未能按照磋商文件的规定交纳履约保证金的；</w:t>
      </w:r>
    </w:p>
    <w:p w14:paraId="628FF1AB">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（6）供应商在政府采购活动中提供虚假材料的；</w:t>
      </w:r>
    </w:p>
    <w:p w14:paraId="3965F26C">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（7）报价有效期内，供应商在政府采购活动中有违法、违规、违纪行为；</w:t>
      </w:r>
    </w:p>
    <w:p w14:paraId="19C078E1">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（8）磋商文件规定的其他不予退还磋商保证金的情形。</w:t>
      </w:r>
    </w:p>
    <w:p w14:paraId="29A6AFED">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8.响应文件有效期（实质性要求）</w:t>
      </w:r>
    </w:p>
    <w:p w14:paraId="45A03FD2">
      <w:pPr>
        <w:snapToGrid w:val="0"/>
        <w:spacing w:line="312" w:lineRule="auto"/>
        <w:ind w:firstLine="470" w:firstLineChars="196"/>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w:t>
      </w:r>
      <w:r>
        <w:rPr>
          <w:rFonts w:hint="eastAsia" w:ascii="仿宋" w:hAnsi="仿宋" w:eastAsia="仿宋" w:cs="仿宋"/>
          <w:b/>
          <w:bCs/>
          <w:color w:val="auto"/>
          <w:sz w:val="24"/>
          <w:highlight w:val="none"/>
        </w:rPr>
        <w:t>否则，其响应文件将作为无效处理。</w:t>
      </w:r>
    </w:p>
    <w:p w14:paraId="1F01BCAF">
      <w:pPr>
        <w:pStyle w:val="8"/>
        <w:snapToGrid w:val="0"/>
        <w:spacing w:line="312" w:lineRule="auto"/>
        <w:ind w:firstLine="482" w:firstLineChars="200"/>
        <w:outlineLvl w:val="2"/>
        <w:rPr>
          <w:rFonts w:hint="eastAsia" w:ascii="仿宋" w:hAnsi="仿宋" w:eastAsia="仿宋" w:cs="仿宋"/>
          <w:b/>
          <w:bCs/>
          <w:color w:val="auto"/>
          <w:sz w:val="24"/>
          <w:szCs w:val="24"/>
          <w:highlight w:val="none"/>
        </w:rPr>
      </w:pPr>
      <w:r>
        <w:rPr>
          <w:rFonts w:hint="eastAsia" w:ascii="仿宋" w:hAnsi="仿宋" w:eastAsia="仿宋" w:cs="仿宋"/>
          <w:b/>
          <w:color w:val="auto"/>
          <w:sz w:val="24"/>
          <w:highlight w:val="none"/>
        </w:rPr>
        <w:t>9.</w:t>
      </w:r>
      <w:r>
        <w:rPr>
          <w:rFonts w:hint="eastAsia" w:ascii="仿宋" w:hAnsi="仿宋" w:eastAsia="仿宋" w:cs="仿宋"/>
          <w:b/>
          <w:bCs/>
          <w:color w:val="auto"/>
          <w:sz w:val="24"/>
          <w:szCs w:val="24"/>
          <w:highlight w:val="none"/>
        </w:rPr>
        <w:t>知识产权</w:t>
      </w:r>
      <w:r>
        <w:rPr>
          <w:rFonts w:hint="eastAsia" w:ascii="仿宋" w:hAnsi="仿宋" w:eastAsia="仿宋" w:cs="仿宋"/>
          <w:b/>
          <w:color w:val="auto"/>
          <w:sz w:val="24"/>
          <w:szCs w:val="24"/>
          <w:highlight w:val="none"/>
        </w:rPr>
        <w:t>（实质性要求）</w:t>
      </w:r>
    </w:p>
    <w:p w14:paraId="404B49D3">
      <w:pPr>
        <w:pStyle w:val="8"/>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9.1 </w:t>
      </w:r>
      <w:r>
        <w:rPr>
          <w:rFonts w:hint="eastAsia" w:ascii="仿宋" w:hAnsi="仿宋" w:eastAsia="仿宋" w:cs="仿宋"/>
          <w:color w:val="auto"/>
          <w:sz w:val="24"/>
          <w:highlight w:val="none"/>
        </w:rPr>
        <w:t>供应商</w:t>
      </w:r>
      <w:r>
        <w:rPr>
          <w:rFonts w:hint="eastAsia" w:ascii="仿宋" w:hAnsi="仿宋" w:eastAsia="仿宋" w:cs="仿宋"/>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cs="仿宋"/>
          <w:color w:val="auto"/>
          <w:sz w:val="24"/>
          <w:highlight w:val="none"/>
        </w:rPr>
        <w:t>供应商</w:t>
      </w:r>
      <w:r>
        <w:rPr>
          <w:rFonts w:hint="eastAsia" w:ascii="仿宋" w:hAnsi="仿宋" w:eastAsia="仿宋" w:cs="仿宋"/>
          <w:color w:val="auto"/>
          <w:sz w:val="24"/>
          <w:szCs w:val="24"/>
          <w:highlight w:val="none"/>
        </w:rPr>
        <w:t>承担所有相关责任。</w:t>
      </w:r>
    </w:p>
    <w:p w14:paraId="578FB4FF">
      <w:pPr>
        <w:pStyle w:val="8"/>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除非磋商文件特别规定，采购人享有本项目实施过程中产生的知识成果及知识产权。</w:t>
      </w:r>
    </w:p>
    <w:p w14:paraId="2F4B2511">
      <w:pPr>
        <w:tabs>
          <w:tab w:val="left" w:pos="7665"/>
        </w:tabs>
        <w:snapToGrid w:val="0"/>
        <w:spacing w:line="312" w:lineRule="auto"/>
        <w:ind w:firstLine="480" w:firstLineChars="200"/>
        <w:rPr>
          <w:rFonts w:hint="eastAsia" w:ascii="仿宋" w:hAnsi="仿宋" w:eastAsia="仿宋" w:cs="仿宋"/>
          <w:color w:val="auto"/>
          <w:sz w:val="32"/>
          <w:szCs w:val="32"/>
          <w:highlight w:val="none"/>
        </w:rPr>
      </w:pPr>
      <w:r>
        <w:rPr>
          <w:rFonts w:hint="eastAsia" w:ascii="仿宋" w:hAnsi="仿宋" w:eastAsia="仿宋" w:cs="仿宋"/>
          <w:color w:val="auto"/>
          <w:sz w:val="24"/>
          <w:highlight w:val="none"/>
        </w:rPr>
        <w:t>9.3</w:t>
      </w:r>
      <w:r>
        <w:rPr>
          <w:rFonts w:hint="eastAsia" w:ascii="仿宋" w:hAnsi="仿宋" w:eastAsia="仿宋" w:cs="仿宋"/>
          <w:color w:val="auto"/>
          <w:kern w:val="0"/>
          <w:sz w:val="24"/>
          <w:highlight w:val="none"/>
        </w:rPr>
        <w:t>如供应商在采购项目实施过程中采用自有或者第三方知识成果的，使用该知识成果后，应当提供开发接口和开发手册等技术资料，并提供无限期支持，采购人享有使用权（含采购人委托第三方在该项目后续开发的使用权）。</w:t>
      </w:r>
    </w:p>
    <w:p w14:paraId="06EB31D0">
      <w:pPr>
        <w:snapToGrid w:val="0"/>
        <w:spacing w:line="312" w:lineRule="auto"/>
        <w:ind w:firstLine="460" w:firstLineChars="192"/>
        <w:rPr>
          <w:rFonts w:hint="eastAsia" w:ascii="仿宋" w:hAnsi="仿宋" w:eastAsia="仿宋" w:cs="仿宋"/>
          <w:bCs/>
          <w:color w:val="auto"/>
          <w:highlight w:val="none"/>
        </w:rPr>
      </w:pPr>
      <w:r>
        <w:rPr>
          <w:rFonts w:hint="eastAsia" w:ascii="仿宋" w:hAnsi="仿宋" w:eastAsia="仿宋" w:cs="仿宋"/>
          <w:color w:val="auto"/>
          <w:sz w:val="24"/>
          <w:highlight w:val="none"/>
        </w:rPr>
        <w:t>9.4 如采用供应商所不拥有的知识产权，则在报价中必须包括合法获取该知识产权的相关费用。</w:t>
      </w:r>
      <w:bookmarkStart w:id="26" w:name="_Toc217446038"/>
      <w:bookmarkStart w:id="27" w:name="_Toc77400779"/>
      <w:bookmarkStart w:id="28" w:name="_Toc183582209"/>
      <w:bookmarkStart w:id="29" w:name="_Toc89075875"/>
      <w:bookmarkStart w:id="30" w:name="_Toc183682346"/>
    </w:p>
    <w:p w14:paraId="2BC55A22">
      <w:pPr>
        <w:pStyle w:val="3"/>
        <w:keepLines w:val="0"/>
        <w:snapToGrid w:val="0"/>
        <w:spacing w:before="0" w:after="0" w:line="312" w:lineRule="auto"/>
        <w:jc w:val="center"/>
        <w:rPr>
          <w:rFonts w:hint="eastAsia" w:ascii="仿宋" w:hAnsi="仿宋" w:eastAsia="仿宋" w:cs="仿宋"/>
          <w:bCs w:val="0"/>
          <w:color w:val="auto"/>
          <w:highlight w:val="none"/>
          <w:lang w:val="en-US"/>
        </w:rPr>
      </w:pPr>
      <w:r>
        <w:rPr>
          <w:rFonts w:hint="eastAsia" w:ascii="仿宋" w:hAnsi="仿宋" w:eastAsia="仿宋" w:cs="仿宋"/>
          <w:bCs w:val="0"/>
          <w:color w:val="auto"/>
          <w:highlight w:val="none"/>
        </w:rPr>
        <w:t>三、磋商文件</w:t>
      </w:r>
      <w:bookmarkEnd w:id="26"/>
      <w:bookmarkEnd w:id="27"/>
      <w:bookmarkEnd w:id="28"/>
      <w:bookmarkEnd w:id="29"/>
      <w:bookmarkEnd w:id="30"/>
      <w:bookmarkStart w:id="31" w:name="_Toc183682347"/>
      <w:bookmarkStart w:id="32" w:name="_Toc183582210"/>
      <w:bookmarkStart w:id="33" w:name="_Toc217446039"/>
    </w:p>
    <w:p w14:paraId="18981872">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10．</w:t>
      </w:r>
      <w:r>
        <w:rPr>
          <w:rFonts w:hint="eastAsia" w:ascii="仿宋" w:hAnsi="仿宋" w:eastAsia="仿宋" w:cs="仿宋"/>
          <w:color w:val="auto"/>
          <w:sz w:val="24"/>
          <w:highlight w:val="none"/>
        </w:rPr>
        <w:t>磋商文件的构成</w:t>
      </w:r>
      <w:bookmarkEnd w:id="31"/>
      <w:bookmarkEnd w:id="32"/>
      <w:bookmarkEnd w:id="33"/>
    </w:p>
    <w:p w14:paraId="20C0E655">
      <w:pPr>
        <w:tabs>
          <w:tab w:val="left" w:pos="720"/>
        </w:tabs>
        <w:snapToGrid w:val="0"/>
        <w:spacing w:line="312" w:lineRule="auto"/>
        <w:ind w:firstLine="480" w:firstLineChars="200"/>
        <w:rPr>
          <w:rFonts w:hint="eastAsia" w:ascii="仿宋" w:hAnsi="仿宋" w:eastAsia="仿宋" w:cs="仿宋"/>
          <w:color w:val="auto"/>
          <w:sz w:val="24"/>
          <w:highlight w:val="none"/>
        </w:rPr>
      </w:pPr>
      <w:bookmarkStart w:id="34" w:name="_Toc183582211"/>
      <w:bookmarkStart w:id="35" w:name="_Toc183682348"/>
      <w:bookmarkStart w:id="36" w:name="_Toc217446040"/>
      <w:r>
        <w:rPr>
          <w:rFonts w:hint="eastAsia" w:ascii="仿宋" w:hAnsi="仿宋" w:eastAsia="仿宋" w:cs="仿宋"/>
          <w:color w:val="auto"/>
          <w:sz w:val="24"/>
          <w:highlight w:val="none"/>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1 磋商文件是供应商准备响应文件和参加磋商的依据，同时也是磋商的重要依据。磋商文件用以阐明磋商项目所需的资质、技术、服务及报价等要求、磋商程序、有关规定和注意事项以及拟签订的合同文本等。</w:t>
      </w:r>
    </w:p>
    <w:p w14:paraId="73F2A82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09944ACF">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磋商文件的澄清</w:t>
      </w:r>
      <w:bookmarkEnd w:id="34"/>
      <w:bookmarkEnd w:id="35"/>
      <w:r>
        <w:rPr>
          <w:rFonts w:hint="eastAsia" w:ascii="仿宋" w:hAnsi="仿宋" w:eastAsia="仿宋" w:cs="仿宋"/>
          <w:color w:val="auto"/>
          <w:sz w:val="24"/>
          <w:highlight w:val="none"/>
        </w:rPr>
        <w:t>和修改</w:t>
      </w:r>
      <w:bookmarkEnd w:id="36"/>
    </w:p>
    <w:p w14:paraId="2C9EB4E7">
      <w:pPr>
        <w:tabs>
          <w:tab w:val="left" w:pos="720"/>
        </w:tabs>
        <w:snapToGrid w:val="0"/>
        <w:spacing w:line="312" w:lineRule="auto"/>
        <w:ind w:firstLine="480" w:firstLineChars="200"/>
        <w:rPr>
          <w:rFonts w:hint="eastAsia" w:ascii="仿宋" w:hAnsi="仿宋" w:eastAsia="仿宋" w:cs="仿宋"/>
          <w:color w:val="auto"/>
          <w:sz w:val="24"/>
          <w:highlight w:val="none"/>
        </w:rPr>
      </w:pPr>
      <w:bookmarkStart w:id="37" w:name="_Toc217446041"/>
      <w:bookmarkStart w:id="38" w:name="_Toc208848971"/>
      <w:r>
        <w:rPr>
          <w:rFonts w:hint="eastAsia" w:ascii="仿宋" w:hAnsi="仿宋" w:eastAsia="仿宋" w:cs="仿宋"/>
          <w:color w:val="auto"/>
          <w:sz w:val="24"/>
          <w:highlight w:val="none"/>
        </w:rPr>
        <w:t>11.1 在递交响应文件截止时间前，采购人可以对磋商文件进行澄清或者修改。</w:t>
      </w:r>
    </w:p>
    <w:p w14:paraId="4454E6B9">
      <w:pPr>
        <w:tabs>
          <w:tab w:val="left" w:pos="720"/>
        </w:tabs>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采购</w:t>
      </w:r>
      <w:r>
        <w:rPr>
          <w:rFonts w:hint="eastAsia" w:ascii="仿宋" w:hAnsi="仿宋" w:eastAsia="仿宋" w:cs="仿宋"/>
          <w:color w:val="auto"/>
          <w:sz w:val="24"/>
          <w:highlight w:val="none"/>
          <w:lang w:eastAsia="zh-CN"/>
        </w:rPr>
        <w:t>人</w:t>
      </w:r>
      <w:r>
        <w:rPr>
          <w:rFonts w:hint="eastAsia" w:ascii="仿宋" w:hAnsi="仿宋" w:eastAsia="仿宋" w:cs="仿宋"/>
          <w:color w:val="auto"/>
          <w:kern w:val="0"/>
          <w:sz w:val="24"/>
          <w:highlight w:val="none"/>
        </w:rPr>
        <w:t>对已发出的采购文件进行澄清或者修改，应当以书面</w:t>
      </w:r>
      <w:r>
        <w:rPr>
          <w:rFonts w:hint="eastAsia" w:ascii="仿宋" w:hAnsi="仿宋" w:eastAsia="仿宋" w:cs="仿宋"/>
          <w:color w:val="auto"/>
          <w:spacing w:val="-4"/>
          <w:sz w:val="24"/>
          <w:highlight w:val="none"/>
        </w:rPr>
        <w:t>形式</w:t>
      </w:r>
      <w:r>
        <w:rPr>
          <w:rFonts w:hint="eastAsia" w:ascii="仿宋" w:hAnsi="仿宋" w:eastAsia="仿宋" w:cs="仿宋"/>
          <w:color w:val="auto"/>
          <w:kern w:val="0"/>
          <w:sz w:val="24"/>
          <w:highlight w:val="none"/>
        </w:rPr>
        <w:t>通知所有成功获取采购文件的供应商（需要纸质文件的供应商自行到采购代理机构处领取）</w:t>
      </w:r>
      <w:r>
        <w:rPr>
          <w:rFonts w:hint="eastAsia" w:ascii="仿宋" w:hAnsi="仿宋" w:eastAsia="仿宋" w:cs="仿宋"/>
          <w:color w:val="auto"/>
          <w:sz w:val="24"/>
          <w:highlight w:val="none"/>
        </w:rPr>
        <w:t>，同时在</w:t>
      </w:r>
      <w:r>
        <w:rPr>
          <w:rFonts w:hint="eastAsia" w:ascii="仿宋" w:hAnsi="仿宋" w:eastAsia="仿宋" w:cs="仿宋"/>
          <w:color w:val="auto"/>
          <w:sz w:val="24"/>
          <w:highlight w:val="none"/>
          <w:lang w:eastAsia="zh-CN"/>
        </w:rPr>
        <w:t>汉源县中医医院官网（https://www.hyxzyy.cn/）</w:t>
      </w:r>
      <w:r>
        <w:rPr>
          <w:rFonts w:hint="eastAsia" w:ascii="仿宋" w:hAnsi="仿宋" w:eastAsia="仿宋" w:cs="仿宋"/>
          <w:color w:val="auto"/>
          <w:sz w:val="24"/>
          <w:highlight w:val="none"/>
        </w:rPr>
        <w:t>发布更正公告。该澄清或者修改的内容为磋商文件的组成部分，澄清或者修改的内容可能影响响应文件编制的，采购人发布公告并书面通知供应商的时间，应当在提交首次响应文件截止之日起3个工作日前；不足上述时间的，应当顺延递交响应文件的截止时间。</w:t>
      </w:r>
    </w:p>
    <w:p w14:paraId="73DCF063">
      <w:pPr>
        <w:tabs>
          <w:tab w:val="left" w:pos="720"/>
        </w:tabs>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11.3供应商应于递交响应文件截止前，在</w:t>
      </w:r>
      <w:r>
        <w:rPr>
          <w:rFonts w:hint="eastAsia" w:ascii="仿宋" w:hAnsi="仿宋" w:eastAsia="仿宋" w:cs="仿宋"/>
          <w:color w:val="auto"/>
          <w:sz w:val="24"/>
          <w:highlight w:val="none"/>
          <w:lang w:eastAsia="zh-CN"/>
        </w:rPr>
        <w:t>汉源县中医医院官网（https://www.hyxzyy.cn/）</w:t>
      </w:r>
      <w:r>
        <w:rPr>
          <w:rFonts w:hint="eastAsia" w:ascii="仿宋" w:hAnsi="仿宋" w:eastAsia="仿宋" w:cs="仿宋"/>
          <w:color w:val="auto"/>
          <w:sz w:val="24"/>
          <w:highlight w:val="none"/>
        </w:rPr>
        <w:t>查询本项目的更正公告，以保证其对磋商文件做出正确的响应。供应商未按要求下载相关文件，或由于未及时关注更正公告的信息造成的后果，其责任由供应商自行负责。</w:t>
      </w:r>
    </w:p>
    <w:p w14:paraId="4D733F48">
      <w:pPr>
        <w:tabs>
          <w:tab w:val="left" w:pos="72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11.4供应商认为采购人需要对磋商文件进行澄清或者修改的，可以在递交响应文件截止日3日前以书面形式向采购人提出申请，由采购人决定是否采纳供应商的申请事项。</w:t>
      </w:r>
    </w:p>
    <w:p w14:paraId="535342FD">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答疑会和现场考察</w:t>
      </w:r>
      <w:bookmarkEnd w:id="37"/>
      <w:bookmarkEnd w:id="38"/>
    </w:p>
    <w:p w14:paraId="3F43F91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 根据采购项目和具体情况，采购人认为有必要，可以在磋商文件提供期限截止后响应文件提交截止前，组织已获取磋商文件的潜在供应商现场考察或者召开答疑会。</w:t>
      </w:r>
    </w:p>
    <w:p w14:paraId="5370AAC1">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4D5F605E">
      <w:pPr>
        <w:adjustRightInd w:val="0"/>
        <w:snapToGrid w:val="0"/>
        <w:spacing w:line="312"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12.3 供应商考察现场或者参加答疑会所发生的一切费用由供应商自己承担。</w:t>
      </w:r>
    </w:p>
    <w:p w14:paraId="2A512902">
      <w:pPr>
        <w:adjustRightInd w:val="0"/>
        <w:snapToGrid w:val="0"/>
        <w:spacing w:line="312"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12.4本项目不组织答疑会和现场考察。</w:t>
      </w:r>
      <w:bookmarkStart w:id="39" w:name="_Toc89075876"/>
      <w:bookmarkStart w:id="40" w:name="_Toc77400780"/>
      <w:bookmarkStart w:id="41" w:name="_Toc183682351"/>
      <w:bookmarkStart w:id="42" w:name="_Toc183582214"/>
      <w:bookmarkStart w:id="43" w:name="_Toc217446042"/>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rPr>
        <w:t>如有需要，可自行前往现场考察，费用自理。</w:t>
      </w:r>
    </w:p>
    <w:p w14:paraId="10980DD6">
      <w:pPr>
        <w:pStyle w:val="3"/>
        <w:keepLines w:val="0"/>
        <w:snapToGrid w:val="0"/>
        <w:spacing w:before="0" w:after="0" w:line="312" w:lineRule="auto"/>
        <w:jc w:val="center"/>
        <w:rPr>
          <w:rFonts w:hint="eastAsia" w:ascii="仿宋" w:hAnsi="仿宋" w:eastAsia="仿宋" w:cs="仿宋"/>
          <w:bCs w:val="0"/>
          <w:color w:val="auto"/>
          <w:highlight w:val="none"/>
        </w:rPr>
      </w:pPr>
      <w:r>
        <w:rPr>
          <w:rFonts w:hint="eastAsia" w:ascii="仿宋" w:hAnsi="仿宋" w:eastAsia="仿宋" w:cs="仿宋"/>
          <w:bCs w:val="0"/>
          <w:color w:val="auto"/>
          <w:highlight w:val="none"/>
        </w:rPr>
        <w:t>四、响应文件</w:t>
      </w:r>
      <w:bookmarkEnd w:id="39"/>
      <w:bookmarkEnd w:id="40"/>
      <w:bookmarkEnd w:id="41"/>
      <w:bookmarkEnd w:id="42"/>
      <w:bookmarkEnd w:id="43"/>
    </w:p>
    <w:p w14:paraId="5B4689D3">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bookmarkStart w:id="44" w:name="_Toc183682352"/>
      <w:bookmarkStart w:id="45" w:name="_Toc217446043"/>
      <w:bookmarkStart w:id="46" w:name="_Toc183582215"/>
      <w:r>
        <w:rPr>
          <w:rFonts w:hint="eastAsia" w:ascii="仿宋" w:hAnsi="仿宋" w:eastAsia="仿宋" w:cs="仿宋"/>
          <w:color w:val="auto"/>
          <w:sz w:val="24"/>
          <w:highlight w:val="none"/>
        </w:rPr>
        <w:t>13.响应文件的组成</w:t>
      </w:r>
    </w:p>
    <w:p w14:paraId="41564705">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14:paraId="2D0ACA4A">
      <w:pPr>
        <w:pStyle w:val="26"/>
        <w:numPr>
          <w:ilvl w:val="0"/>
          <w:numId w:val="9"/>
        </w:numPr>
        <w:tabs>
          <w:tab w:val="left" w:pos="0"/>
        </w:tabs>
        <w:snapToGrid w:val="0"/>
        <w:spacing w:line="312" w:lineRule="auto"/>
        <w:ind w:left="479" w:leftChars="228"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资格性响应文件（用于资格审查）</w:t>
      </w:r>
    </w:p>
    <w:p w14:paraId="1E4F1F1D">
      <w:pPr>
        <w:pStyle w:val="26"/>
        <w:snapToGrid w:val="0"/>
        <w:spacing w:line="312" w:lineRule="auto"/>
        <w:ind w:firstLine="723" w:firstLineChars="3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具体内容详见“第四章  供应商和报价产品应当提供的资格、资质性及其他类似效力要求的相关证明材料”</w:t>
      </w:r>
    </w:p>
    <w:p w14:paraId="1401E5C2">
      <w:pPr>
        <w:pStyle w:val="26"/>
        <w:snapToGrid w:val="0"/>
        <w:spacing w:line="312"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（二）其他响应文件（用于资格审查以外的评审）</w:t>
      </w:r>
    </w:p>
    <w:p w14:paraId="1A95FE13">
      <w:pPr>
        <w:pStyle w:val="26"/>
        <w:snapToGrid w:val="0"/>
        <w:spacing w:line="312" w:lineRule="auto"/>
        <w:ind w:firstLine="482"/>
        <w:rPr>
          <w:rFonts w:hint="eastAsia" w:ascii="仿宋" w:hAnsi="仿宋" w:eastAsia="仿宋" w:cs="仿宋"/>
          <w:b w:val="0"/>
          <w:bCs w:val="0"/>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b w:val="0"/>
          <w:bCs w:val="0"/>
          <w:color w:val="auto"/>
          <w:sz w:val="24"/>
          <w:highlight w:val="none"/>
        </w:rPr>
        <w:t xml:space="preserve">   “其他响应文件”包括但不限于以下内容：</w:t>
      </w:r>
    </w:p>
    <w:p w14:paraId="7CFD161C">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（1）报价函；</w:t>
      </w:r>
    </w:p>
    <w:p w14:paraId="6271194B">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（2）磋商函；</w:t>
      </w:r>
    </w:p>
    <w:p w14:paraId="399DCF21">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（3）承诺函；</w:t>
      </w:r>
    </w:p>
    <w:p w14:paraId="410B7EB3">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（4）供应商基本情况表；</w:t>
      </w:r>
    </w:p>
    <w:p w14:paraId="2FEE2B32">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（5）商务应答表；</w:t>
      </w:r>
    </w:p>
    <w:p w14:paraId="35481BF4">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（6）服务及要求应答表；</w:t>
      </w:r>
    </w:p>
    <w:p w14:paraId="786E68DB">
      <w:pPr>
        <w:snapToGrid w:val="0"/>
        <w:spacing w:line="312" w:lineRule="auto"/>
        <w:ind w:left="2" w:leftChars="1"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（7）针对本项目的服务方案；</w:t>
      </w:r>
    </w:p>
    <w:p w14:paraId="6BA55B88">
      <w:pPr>
        <w:pStyle w:val="4"/>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14.响应文件的语言</w:t>
      </w:r>
      <w:bookmarkEnd w:id="44"/>
      <w:bookmarkEnd w:id="45"/>
      <w:bookmarkEnd w:id="46"/>
      <w:r>
        <w:rPr>
          <w:rFonts w:hint="eastAsia" w:ascii="仿宋" w:hAnsi="仿宋" w:eastAsia="仿宋" w:cs="仿宋"/>
          <w:color w:val="auto"/>
          <w:sz w:val="24"/>
          <w:highlight w:val="none"/>
        </w:rPr>
        <w:t>（实质性要求）</w:t>
      </w:r>
    </w:p>
    <w:p w14:paraId="573A404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 供应商提交的响应文件以及供应商与采购人就有关报价的所有来往书面文件均须使用中文（说明：供应商的法定代表人/单位负责人为外籍人士的，法定代表人/单位负责人的签字和护照为外文的情况除外）。响应文件中如附有外文资料，必须对主要部分翻译成中文并加盖供应商公章后附在相关外文资料后面，否则，</w:t>
      </w:r>
      <w:r>
        <w:rPr>
          <w:rFonts w:hint="eastAsia" w:ascii="仿宋" w:hAnsi="仿宋" w:eastAsia="仿宋" w:cs="仿宋"/>
          <w:color w:val="auto"/>
          <w:kern w:val="0"/>
          <w:sz w:val="24"/>
          <w:highlight w:val="none"/>
        </w:rPr>
        <w:t>所提供的外文资料将可能被视为无效材料。</w:t>
      </w:r>
    </w:p>
    <w:p w14:paraId="4B681529">
      <w:pPr>
        <w:adjustRightInd w:val="0"/>
        <w:snapToGrid w:val="0"/>
        <w:spacing w:line="312" w:lineRule="auto"/>
        <w:ind w:firstLine="480" w:firstLineChars="200"/>
        <w:rPr>
          <w:rFonts w:hint="eastAsia" w:ascii="仿宋" w:hAnsi="仿宋" w:eastAsia="仿宋" w:cs="仿宋"/>
          <w:color w:val="auto"/>
          <w:sz w:val="24"/>
          <w:highlight w:val="none"/>
        </w:rPr>
      </w:pPr>
      <w:bookmarkStart w:id="47" w:name="_Toc183682353"/>
      <w:bookmarkStart w:id="48" w:name="_Toc183582216"/>
      <w:bookmarkStart w:id="49" w:name="_Toc217446044"/>
      <w:r>
        <w:rPr>
          <w:rFonts w:hint="eastAsia" w:ascii="仿宋" w:hAnsi="仿宋" w:eastAsia="仿宋" w:cs="仿宋"/>
          <w:color w:val="auto"/>
          <w:sz w:val="24"/>
          <w:highlight w:val="none"/>
        </w:rPr>
        <w:t>14.2 翻译的中文资料与外文资料如果出现差异和矛盾，以中文为准。涉嫌提供虚假材料的按照相关法律法规处理。</w:t>
      </w:r>
    </w:p>
    <w:p w14:paraId="3FB7B685">
      <w:pPr>
        <w:adjustRightInd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 如因未翻译而造成对供应商的不利后果，由供应商承担。</w:t>
      </w:r>
    </w:p>
    <w:p w14:paraId="5D34CB0D">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15.计量单位</w:t>
      </w:r>
      <w:bookmarkEnd w:id="47"/>
      <w:bookmarkEnd w:id="48"/>
      <w:bookmarkEnd w:id="49"/>
      <w:r>
        <w:rPr>
          <w:rFonts w:hint="eastAsia" w:ascii="仿宋" w:hAnsi="仿宋" w:eastAsia="仿宋" w:cs="仿宋"/>
          <w:bCs/>
          <w:color w:val="auto"/>
          <w:sz w:val="24"/>
          <w:highlight w:val="none"/>
        </w:rPr>
        <w:t>（实质性要求）</w:t>
      </w:r>
    </w:p>
    <w:p w14:paraId="6FA1AABA">
      <w:pPr>
        <w:snapToGrid w:val="0"/>
        <w:spacing w:line="312" w:lineRule="auto"/>
        <w:ind w:firstLine="470" w:firstLineChars="196"/>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除磋商文件中另有规定外，本次采购项目所有合同项下的报价均采用国家法定的计量单位。</w:t>
      </w:r>
      <w:bookmarkStart w:id="50" w:name="_Toc217446045"/>
    </w:p>
    <w:p w14:paraId="7F51E92F">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16.报价（实质性要求）</w:t>
      </w:r>
    </w:p>
    <w:p w14:paraId="3FFDFF16">
      <w:pPr>
        <w:pStyle w:val="30"/>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16.1</w:t>
      </w:r>
      <w:r>
        <w:rPr>
          <w:rFonts w:hint="eastAsia" w:ascii="仿宋" w:hAnsi="仿宋" w:eastAsia="仿宋" w:cs="仿宋"/>
          <w:color w:val="auto"/>
          <w:sz w:val="24"/>
          <w:highlight w:val="none"/>
        </w:rPr>
        <w:t>所有报价一律以人民币报价。采购人不接受任何非人民币币种的报价。</w:t>
      </w:r>
    </w:p>
    <w:p w14:paraId="5B154288">
      <w:pPr>
        <w:pStyle w:val="30"/>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16.2供应商的报价是其响应本项目要求的全部工作内容的价格体现，包括供应商完成本项目所需的一切费用。</w:t>
      </w:r>
    </w:p>
    <w:p w14:paraId="686898C9">
      <w:pPr>
        <w:pStyle w:val="31"/>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16.3本次磋商采购需要进行现场报价，通过资格审查的磋商供应商按磋商小组要求进行报价。</w:t>
      </w:r>
    </w:p>
    <w:bookmarkEnd w:id="50"/>
    <w:p w14:paraId="4DA39938">
      <w:pPr>
        <w:pStyle w:val="4"/>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17.响应文件格式</w:t>
      </w:r>
    </w:p>
    <w:p w14:paraId="3C5E6C21">
      <w:pPr>
        <w:snapToGrid w:val="0"/>
        <w:spacing w:line="312" w:lineRule="auto"/>
        <w:ind w:left="2" w:leftChars="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17.1 供应商应执行磋商文件第七章的规定要求。</w:t>
      </w:r>
    </w:p>
    <w:p w14:paraId="2458947F">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对于没有格式要求的磋商文件由供应商自行编写。</w:t>
      </w:r>
      <w:bookmarkStart w:id="51" w:name="_Toc183582224"/>
      <w:bookmarkStart w:id="52" w:name="_Toc183682361"/>
      <w:bookmarkStart w:id="53" w:name="_Toc217446051"/>
    </w:p>
    <w:bookmarkEnd w:id="51"/>
    <w:bookmarkEnd w:id="52"/>
    <w:bookmarkEnd w:id="53"/>
    <w:p w14:paraId="4791B4B0">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bookmarkStart w:id="54" w:name="_Toc77400781"/>
      <w:bookmarkStart w:id="55" w:name="_Toc89075877"/>
      <w:bookmarkStart w:id="56" w:name="_Toc217446053"/>
      <w:bookmarkStart w:id="57" w:name="_Toc183682363"/>
      <w:bookmarkStart w:id="58" w:name="_Toc183582226"/>
      <w:r>
        <w:rPr>
          <w:rFonts w:hint="eastAsia" w:ascii="仿宋" w:hAnsi="仿宋" w:eastAsia="仿宋" w:cs="仿宋"/>
          <w:bCs/>
          <w:color w:val="auto"/>
          <w:sz w:val="24"/>
          <w:highlight w:val="none"/>
        </w:rPr>
        <w:t>19.响应文件的密封和标注（不属于本项目磋商小组评审范畴，由采购人在接收响应文件时及时处理）</w:t>
      </w:r>
    </w:p>
    <w:p w14:paraId="0063F430">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1</w:t>
      </w:r>
      <w:r>
        <w:rPr>
          <w:rFonts w:hint="eastAsia" w:ascii="仿宋" w:hAnsi="仿宋" w:eastAsia="仿宋" w:cs="仿宋"/>
          <w:color w:val="auto"/>
          <w:sz w:val="24"/>
          <w:highlight w:val="none"/>
        </w:rPr>
        <w:t>“资格性响应文件”“其他响应文件”“电子文档”需密封包装。</w:t>
      </w:r>
    </w:p>
    <w:p w14:paraId="3612287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2</w:t>
      </w:r>
      <w:r>
        <w:rPr>
          <w:rFonts w:hint="eastAsia" w:ascii="仿宋" w:hAnsi="仿宋" w:eastAsia="仿宋" w:cs="仿宋"/>
          <w:color w:val="auto"/>
          <w:sz w:val="24"/>
          <w:highlight w:val="none"/>
        </w:rPr>
        <w:t xml:space="preserve"> 响应文件密封袋的最外层应清楚地标明采购项目名称、采购项目编号、包件号及名称（若有）、供应商名称。</w:t>
      </w:r>
    </w:p>
    <w:p w14:paraId="609918BD">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3</w:t>
      </w:r>
      <w:r>
        <w:rPr>
          <w:rFonts w:hint="eastAsia" w:ascii="仿宋" w:hAnsi="仿宋" w:eastAsia="仿宋" w:cs="仿宋"/>
          <w:color w:val="auto"/>
          <w:sz w:val="24"/>
          <w:highlight w:val="none"/>
        </w:rPr>
        <w:t xml:space="preserve"> 所有外层密封袋的封口处应粘贴牢固。</w:t>
      </w:r>
    </w:p>
    <w:p w14:paraId="3A457659">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4</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未密封的响应文件</w:t>
      </w:r>
      <w:r>
        <w:rPr>
          <w:rFonts w:hint="eastAsia" w:ascii="仿宋" w:hAnsi="仿宋" w:eastAsia="仿宋" w:cs="仿宋"/>
          <w:color w:val="auto"/>
          <w:sz w:val="24"/>
          <w:highlight w:val="none"/>
        </w:rPr>
        <w:t>，采购人将拒收或者在递交响应文件截止时间前，要求供应商密封完善后接收。</w:t>
      </w:r>
    </w:p>
    <w:p w14:paraId="03291A2B">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20.响应文件的递交</w:t>
      </w:r>
    </w:p>
    <w:p w14:paraId="74F330A2">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20.1 资格性响应文件和其他响应文件应于递交响应文件截止时间前送达指定地点，采购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拒绝接收截止时间后送达的响应文件。</w:t>
      </w:r>
    </w:p>
    <w:p w14:paraId="63A0AF9D">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20.2 采购</w:t>
      </w:r>
      <w:r>
        <w:rPr>
          <w:rFonts w:hint="eastAsia" w:ascii="仿宋" w:hAnsi="仿宋" w:eastAsia="仿宋" w:cs="仿宋"/>
          <w:color w:val="auto"/>
          <w:sz w:val="24"/>
          <w:highlight w:val="none"/>
          <w:lang w:eastAsia="zh-CN"/>
        </w:rPr>
        <w:t>任</w:t>
      </w:r>
      <w:r>
        <w:rPr>
          <w:rFonts w:hint="eastAsia" w:ascii="仿宋" w:hAnsi="仿宋" w:eastAsia="仿宋" w:cs="仿宋"/>
          <w:color w:val="auto"/>
          <w:sz w:val="24"/>
          <w:highlight w:val="none"/>
        </w:rPr>
        <w:t>将向通过资格审查的供应商发出磋商邀请；告知未通过资格审查的供应商未通过的原因。</w:t>
      </w:r>
    </w:p>
    <w:p w14:paraId="3C89A2C2">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20.3 最后报价表在磋商后，由磋商小组要求供应商进行报价时递交。</w:t>
      </w:r>
    </w:p>
    <w:p w14:paraId="0D9D61E0">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20.4 本次采购不接收邮寄的响应文件。</w:t>
      </w:r>
    </w:p>
    <w:bookmarkEnd w:id="54"/>
    <w:bookmarkEnd w:id="55"/>
    <w:bookmarkEnd w:id="56"/>
    <w:bookmarkEnd w:id="57"/>
    <w:bookmarkEnd w:id="58"/>
    <w:p w14:paraId="0287D5F9">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bookmarkStart w:id="59" w:name="_Toc217446055"/>
      <w:bookmarkStart w:id="60" w:name="_Toc183582228"/>
      <w:bookmarkStart w:id="61" w:name="_Toc183682365"/>
      <w:r>
        <w:rPr>
          <w:rFonts w:hint="eastAsia" w:ascii="仿宋" w:hAnsi="仿宋" w:eastAsia="仿宋" w:cs="仿宋"/>
          <w:bCs/>
          <w:color w:val="auto"/>
          <w:sz w:val="24"/>
          <w:highlight w:val="none"/>
        </w:rPr>
        <w:t>18.响应文件的编制和签署</w:t>
      </w:r>
    </w:p>
    <w:p w14:paraId="4659BAF7">
      <w:pPr>
        <w:tabs>
          <w:tab w:val="left" w:pos="7665"/>
        </w:tabs>
        <w:snapToGrid w:val="0"/>
        <w:spacing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18.1供应商应编制</w:t>
      </w:r>
      <w:r>
        <w:rPr>
          <w:rFonts w:hint="eastAsia" w:ascii="仿宋" w:hAnsi="仿宋" w:eastAsia="仿宋" w:cs="仿宋"/>
          <w:b/>
          <w:bCs/>
          <w:color w:val="auto"/>
          <w:kern w:val="0"/>
          <w:sz w:val="24"/>
          <w:highlight w:val="none"/>
        </w:rPr>
        <w:t>响应文件</w:t>
      </w:r>
      <w:r>
        <w:rPr>
          <w:rFonts w:hint="eastAsia" w:ascii="仿宋" w:hAnsi="仿宋" w:eastAsia="仿宋" w:cs="仿宋"/>
          <w:b/>
          <w:bCs/>
          <w:color w:val="auto"/>
          <w:sz w:val="24"/>
          <w:highlight w:val="none"/>
        </w:rPr>
        <w:t>正本壹份、副本贰份（实质性要求）</w:t>
      </w:r>
      <w:r>
        <w:rPr>
          <w:rFonts w:hint="eastAsia" w:ascii="仿宋" w:hAnsi="仿宋" w:eastAsia="仿宋" w:cs="仿宋"/>
          <w:color w:val="auto"/>
          <w:sz w:val="24"/>
          <w:highlight w:val="none"/>
        </w:rPr>
        <w:t>。</w:t>
      </w:r>
    </w:p>
    <w:p w14:paraId="26EC6F63">
      <w:pPr>
        <w:snapToGrid w:val="0"/>
        <w:spacing w:line="312" w:lineRule="auto"/>
        <w:ind w:firstLine="470" w:firstLineChars="19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ascii="仿宋" w:hAnsi="仿宋" w:eastAsia="仿宋" w:cs="仿宋"/>
          <w:b/>
          <w:bCs/>
          <w:color w:val="auto"/>
          <w:sz w:val="24"/>
          <w:highlight w:val="none"/>
        </w:rPr>
        <w:t>8.2</w:t>
      </w:r>
      <w:r>
        <w:rPr>
          <w:rFonts w:hint="eastAsia" w:ascii="仿宋" w:hAnsi="仿宋" w:eastAsia="仿宋" w:cs="仿宋"/>
          <w:b/>
          <w:bCs/>
          <w:color w:val="auto"/>
          <w:sz w:val="24"/>
          <w:highlight w:val="none"/>
          <w:u w:val="single"/>
        </w:rPr>
        <w:t>资格性响应文件</w:t>
      </w:r>
      <w:r>
        <w:rPr>
          <w:rFonts w:hint="eastAsia" w:ascii="仿宋" w:hAnsi="仿宋" w:eastAsia="仿宋" w:cs="仿宋"/>
          <w:b/>
          <w:bCs/>
          <w:color w:val="auto"/>
          <w:sz w:val="24"/>
          <w:highlight w:val="none"/>
        </w:rPr>
        <w:t>在其封面上清楚地标明</w:t>
      </w:r>
      <w:r>
        <w:rPr>
          <w:rFonts w:hint="eastAsia" w:ascii="仿宋" w:hAnsi="仿宋" w:eastAsia="仿宋" w:cs="仿宋"/>
          <w:b/>
          <w:bCs/>
          <w:color w:val="auto"/>
          <w:sz w:val="24"/>
          <w:highlight w:val="none"/>
          <w:u w:val="single"/>
        </w:rPr>
        <w:t>资格性响应文件、采购项目名称、采购项目编号、包件号及名称（若有）、供应商名称、日期以及“正本”或“副本”字样</w:t>
      </w:r>
      <w:r>
        <w:rPr>
          <w:rFonts w:hint="eastAsia" w:ascii="仿宋" w:hAnsi="仿宋" w:eastAsia="仿宋" w:cs="仿宋"/>
          <w:b/>
          <w:bCs/>
          <w:color w:val="auto"/>
          <w:sz w:val="24"/>
          <w:highlight w:val="none"/>
        </w:rPr>
        <w:t>。</w:t>
      </w:r>
    </w:p>
    <w:p w14:paraId="3F5E86D4">
      <w:pPr>
        <w:snapToGrid w:val="0"/>
        <w:spacing w:line="312" w:lineRule="auto"/>
        <w:ind w:firstLine="470" w:firstLineChars="195"/>
        <w:rPr>
          <w:rFonts w:hint="eastAsia" w:ascii="仿宋" w:hAnsi="仿宋" w:eastAsia="仿宋" w:cs="仿宋"/>
          <w:b/>
          <w:color w:val="auto"/>
          <w:sz w:val="24"/>
          <w:highlight w:val="none"/>
        </w:rPr>
      </w:pPr>
      <w:r>
        <w:rPr>
          <w:rFonts w:ascii="仿宋" w:hAnsi="仿宋" w:eastAsia="仿宋" w:cs="仿宋"/>
          <w:b/>
          <w:color w:val="auto"/>
          <w:sz w:val="24"/>
          <w:highlight w:val="none"/>
        </w:rPr>
        <w:t>18.3</w:t>
      </w:r>
      <w:r>
        <w:rPr>
          <w:rFonts w:hint="eastAsia" w:ascii="仿宋" w:hAnsi="仿宋" w:eastAsia="仿宋" w:cs="仿宋"/>
          <w:b/>
          <w:color w:val="auto"/>
          <w:sz w:val="24"/>
          <w:highlight w:val="none"/>
          <w:u w:val="single"/>
        </w:rPr>
        <w:t>其他响应文件</w:t>
      </w:r>
      <w:r>
        <w:rPr>
          <w:rFonts w:hint="eastAsia" w:ascii="仿宋" w:hAnsi="仿宋" w:eastAsia="仿宋" w:cs="仿宋"/>
          <w:b/>
          <w:color w:val="auto"/>
          <w:sz w:val="24"/>
          <w:highlight w:val="none"/>
        </w:rPr>
        <w:t>在其封面上清楚地标明</w:t>
      </w:r>
      <w:r>
        <w:rPr>
          <w:rFonts w:hint="eastAsia" w:ascii="仿宋" w:hAnsi="仿宋" w:eastAsia="仿宋" w:cs="仿宋"/>
          <w:b/>
          <w:color w:val="auto"/>
          <w:sz w:val="24"/>
          <w:highlight w:val="none"/>
          <w:u w:val="single"/>
        </w:rPr>
        <w:t>其他响应文件、采购项目名称、采购项目编号、包件号及名称（若有）、供应商名称</w:t>
      </w:r>
      <w:r>
        <w:rPr>
          <w:rFonts w:hint="eastAsia" w:ascii="仿宋" w:hAnsi="仿宋" w:eastAsia="仿宋" w:cs="仿宋"/>
          <w:b/>
          <w:bCs/>
          <w:color w:val="auto"/>
          <w:sz w:val="24"/>
          <w:highlight w:val="none"/>
          <w:u w:val="single"/>
        </w:rPr>
        <w:t>、日期</w:t>
      </w:r>
      <w:r>
        <w:rPr>
          <w:rFonts w:hint="eastAsia" w:ascii="仿宋" w:hAnsi="仿宋" w:eastAsia="仿宋" w:cs="仿宋"/>
          <w:b/>
          <w:color w:val="auto"/>
          <w:sz w:val="24"/>
          <w:highlight w:val="none"/>
          <w:u w:val="single"/>
        </w:rPr>
        <w:t>以及“正本”或“副本”字样</w:t>
      </w:r>
      <w:r>
        <w:rPr>
          <w:rFonts w:hint="eastAsia" w:ascii="仿宋" w:hAnsi="仿宋" w:eastAsia="仿宋" w:cs="仿宋"/>
          <w:b/>
          <w:color w:val="auto"/>
          <w:sz w:val="24"/>
          <w:highlight w:val="none"/>
        </w:rPr>
        <w:t>。</w:t>
      </w:r>
    </w:p>
    <w:p w14:paraId="2EB63686">
      <w:pPr>
        <w:snapToGrid w:val="0"/>
        <w:spacing w:line="312" w:lineRule="auto"/>
        <w:ind w:firstLine="470" w:firstLineChars="195"/>
        <w:rPr>
          <w:rFonts w:hint="eastAsia" w:ascii="仿宋" w:hAnsi="仿宋" w:eastAsia="仿宋" w:cs="仿宋"/>
          <w:b/>
          <w:color w:val="auto"/>
          <w:kern w:val="0"/>
          <w:sz w:val="24"/>
          <w:highlight w:val="none"/>
          <w:u w:val="single"/>
        </w:rPr>
      </w:pPr>
      <w:r>
        <w:rPr>
          <w:rFonts w:ascii="仿宋" w:hAnsi="仿宋" w:eastAsia="仿宋" w:cs="仿宋"/>
          <w:b/>
          <w:color w:val="auto"/>
          <w:sz w:val="24"/>
          <w:highlight w:val="none"/>
        </w:rPr>
        <w:t>18.4</w:t>
      </w:r>
      <w:r>
        <w:rPr>
          <w:rFonts w:hint="eastAsia" w:ascii="仿宋" w:hAnsi="仿宋" w:eastAsia="仿宋" w:cs="仿宋"/>
          <w:b/>
          <w:color w:val="auto"/>
          <w:kern w:val="0"/>
          <w:sz w:val="24"/>
          <w:highlight w:val="none"/>
        </w:rPr>
        <w:t>响应文件（资格性响应文件和其他响应文件）若正本和副本有不一致的内容，以正本书面响应文件为准。</w:t>
      </w:r>
      <w:r>
        <w:rPr>
          <w:rFonts w:hint="eastAsia" w:ascii="仿宋" w:hAnsi="仿宋" w:eastAsia="仿宋" w:cs="仿宋"/>
          <w:b/>
          <w:color w:val="auto"/>
          <w:sz w:val="24"/>
          <w:highlight w:val="none"/>
        </w:rPr>
        <w:t>（实质性要求）</w:t>
      </w:r>
    </w:p>
    <w:p w14:paraId="63340CAC">
      <w:pPr>
        <w:snapToGrid w:val="0"/>
        <w:spacing w:line="312"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响应文件的打印和书写应清楚工整，任何行间插字、涂改或增删，必须由供应商的法定代表人/单位负责人或其授权代表签字并盖供应商公章。</w:t>
      </w:r>
    </w:p>
    <w:p w14:paraId="704FD8BE">
      <w:pPr>
        <w:snapToGrid w:val="0"/>
        <w:spacing w:line="312" w:lineRule="auto"/>
        <w:ind w:firstLine="468" w:firstLineChars="195"/>
        <w:rPr>
          <w:rFonts w:hint="eastAsia" w:ascii="仿宋" w:hAnsi="仿宋" w:eastAsia="仿宋" w:cs="仿宋"/>
          <w:b/>
          <w:bCs/>
          <w:color w:val="auto"/>
          <w:sz w:val="24"/>
          <w:highlight w:val="none"/>
          <w:lang w:val="zh-CN"/>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.6</w:t>
      </w:r>
      <w:r>
        <w:rPr>
          <w:rFonts w:hint="eastAsia" w:ascii="仿宋" w:hAnsi="仿宋" w:eastAsia="仿宋" w:cs="仿宋"/>
          <w:color w:val="auto"/>
          <w:sz w:val="24"/>
          <w:highlight w:val="none"/>
          <w:lang w:val="zh-CN"/>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14:paraId="6AE62CAA">
      <w:pPr>
        <w:snapToGrid w:val="0"/>
        <w:spacing w:line="312"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响应文件正本和副本需要逐页编码。</w:t>
      </w:r>
    </w:p>
    <w:p w14:paraId="698CFE31">
      <w:pPr>
        <w:tabs>
          <w:tab w:val="left" w:pos="1080"/>
        </w:tabs>
        <w:snapToGrid w:val="0"/>
        <w:spacing w:line="312" w:lineRule="auto"/>
        <w:ind w:firstLine="460" w:firstLineChars="192"/>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响应文件正本和副本采用胶装方式装订成册。</w:t>
      </w:r>
    </w:p>
    <w:p w14:paraId="73911881">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响应文件应根据磋商文件的要求签署、盖章。</w:t>
      </w:r>
    </w:p>
    <w:p w14:paraId="196FAA16">
      <w:pPr>
        <w:tabs>
          <w:tab w:val="left" w:pos="1080"/>
        </w:tabs>
        <w:snapToGrid w:val="0"/>
        <w:spacing w:line="312" w:lineRule="auto"/>
        <w:ind w:firstLine="460" w:firstLineChars="192"/>
        <w:rPr>
          <w:rFonts w:hint="eastAsia" w:ascii="仿宋" w:hAnsi="仿宋" w:eastAsia="仿宋" w:cs="仿宋"/>
          <w:b/>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除磋商文件另有规定外，响应文件统一用A4幅面纸印制。</w:t>
      </w:r>
    </w:p>
    <w:p w14:paraId="296DFDD3">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21.响应文件的修改和撤回（补充、修改响应文件的密封和标注按照本章“19.响应文件的密封和标注”规定处理）</w:t>
      </w:r>
    </w:p>
    <w:p w14:paraId="5185F126">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bookmarkEnd w:id="59"/>
      <w:bookmarkEnd w:id="60"/>
      <w:bookmarkEnd w:id="61"/>
      <w:r>
        <w:rPr>
          <w:rFonts w:hint="eastAsia" w:ascii="仿宋" w:hAnsi="仿宋" w:eastAsia="仿宋" w:cs="仿宋"/>
          <w:color w:val="auto"/>
          <w:sz w:val="24"/>
          <w:highlight w:val="none"/>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7CB2CD02">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21.2供应商对响应文件修改的书面材料或撤回的通知应该按规定进行编写、密封、标注和递送，并注明“修改响应文件”字样。</w:t>
      </w:r>
    </w:p>
    <w:p w14:paraId="7565B866">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21.3供应商不得在递交截止时间起至响应文件有效期期满前撤销其响应文件，否则将认定其响应文件有效期的承诺为虚假承诺，并依法追究其法律责任。</w:t>
      </w:r>
    </w:p>
    <w:p w14:paraId="3B581D83">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21.4供应商对其提交的响应文件的真实性、合法性承担法律责任。</w:t>
      </w:r>
    </w:p>
    <w:p w14:paraId="0DE295DE">
      <w:pPr>
        <w:pStyle w:val="3"/>
        <w:keepLines w:val="0"/>
        <w:snapToGrid w:val="0"/>
        <w:spacing w:before="0" w:after="0" w:line="312" w:lineRule="auto"/>
        <w:jc w:val="center"/>
        <w:rPr>
          <w:rFonts w:hint="eastAsia" w:ascii="仿宋" w:hAnsi="仿宋" w:eastAsia="仿宋" w:cs="仿宋"/>
          <w:color w:val="auto"/>
          <w:highlight w:val="none"/>
        </w:rPr>
      </w:pPr>
      <w:bookmarkStart w:id="62" w:name="_Toc77400782"/>
      <w:bookmarkStart w:id="63" w:name="_Toc183582231"/>
      <w:bookmarkStart w:id="64" w:name="_Toc89075878"/>
      <w:bookmarkStart w:id="65" w:name="_Toc183682368"/>
      <w:bookmarkStart w:id="66" w:name="_Toc217446056"/>
      <w:r>
        <w:rPr>
          <w:rFonts w:hint="eastAsia" w:ascii="仿宋" w:hAnsi="仿宋" w:eastAsia="仿宋" w:cs="仿宋"/>
          <w:color w:val="auto"/>
          <w:highlight w:val="none"/>
        </w:rPr>
        <w:t>五、评审</w:t>
      </w:r>
    </w:p>
    <w:p w14:paraId="2B0F68DE">
      <w:pPr>
        <w:pStyle w:val="4"/>
        <w:keepLines w:val="0"/>
        <w:snapToGrid w:val="0"/>
        <w:spacing w:before="0" w:after="0" w:line="312"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bCs/>
          <w:color w:val="auto"/>
          <w:sz w:val="24"/>
          <w:szCs w:val="24"/>
          <w:highlight w:val="none"/>
        </w:rPr>
        <w:t>22.磋商小组</w:t>
      </w:r>
      <w:r>
        <w:rPr>
          <w:rFonts w:hint="eastAsia" w:ascii="仿宋" w:hAnsi="仿宋" w:eastAsia="仿宋" w:cs="仿宋"/>
          <w:b w:val="0"/>
          <w:color w:val="auto"/>
          <w:sz w:val="24"/>
          <w:szCs w:val="24"/>
          <w:highlight w:val="none"/>
        </w:rPr>
        <w:t>的组建及其评审工作按照有关法律制度和本文件第</w:t>
      </w:r>
      <w:r>
        <w:rPr>
          <w:rFonts w:hint="eastAsia" w:ascii="仿宋" w:hAnsi="仿宋" w:eastAsia="仿宋" w:cs="仿宋"/>
          <w:b w:val="0"/>
          <w:color w:val="auto"/>
          <w:sz w:val="24"/>
          <w:szCs w:val="24"/>
          <w:highlight w:val="none"/>
          <w:lang w:val="en-US"/>
        </w:rPr>
        <w:t>八</w:t>
      </w:r>
      <w:r>
        <w:rPr>
          <w:rFonts w:hint="eastAsia" w:ascii="仿宋" w:hAnsi="仿宋" w:eastAsia="仿宋" w:cs="仿宋"/>
          <w:b w:val="0"/>
          <w:color w:val="auto"/>
          <w:sz w:val="24"/>
          <w:szCs w:val="24"/>
          <w:highlight w:val="none"/>
        </w:rPr>
        <w:t>章的规定进行。</w:t>
      </w:r>
    </w:p>
    <w:p w14:paraId="595CF515">
      <w:pPr>
        <w:pStyle w:val="3"/>
        <w:keepLines w:val="0"/>
        <w:snapToGrid w:val="0"/>
        <w:spacing w:before="0" w:after="0"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六、成交事项</w:t>
      </w:r>
    </w:p>
    <w:p w14:paraId="21003456">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23.确定成交供应商</w:t>
      </w:r>
    </w:p>
    <w:p w14:paraId="4ADE18D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采购人将按磋商小组推荐的成交候选供应商顺序确定成交供应商。</w:t>
      </w:r>
    </w:p>
    <w:p w14:paraId="7F5FFA84">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23.1</w:t>
      </w:r>
      <w:r>
        <w:rPr>
          <w:rFonts w:hint="eastAsia" w:ascii="仿宋" w:hAnsi="仿宋" w:eastAsia="仿宋" w:cs="仿宋"/>
          <w:bCs/>
          <w:color w:val="auto"/>
          <w:sz w:val="24"/>
          <w:szCs w:val="24"/>
          <w:highlight w:val="none"/>
          <w:lang w:eastAsia="zh-CN"/>
        </w:rPr>
        <w:t>磋商小组</w:t>
      </w:r>
      <w:r>
        <w:rPr>
          <w:rFonts w:hint="eastAsia" w:ascii="仿宋" w:hAnsi="仿宋" w:eastAsia="仿宋" w:cs="仿宋"/>
          <w:bCs/>
          <w:color w:val="auto"/>
          <w:sz w:val="24"/>
          <w:szCs w:val="24"/>
          <w:highlight w:val="none"/>
        </w:rPr>
        <w:t>自评审结束后2个工作日内将磋商报告及有关资料送交采购人确定成交供应商。</w:t>
      </w:r>
    </w:p>
    <w:p w14:paraId="07C52F1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23.2采购人收到磋商报告及有关资料后，将在5个工作日内按照磋商报告中推荐的成交候选供应商顺序确定成交供应商。采购人逾期未确定成交供应商且不提出异议的，视为确定磋商报告提出的排序第一的供应商为成交供应商。</w:t>
      </w:r>
    </w:p>
    <w:p w14:paraId="77B7C14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kern w:val="0"/>
          <w:sz w:val="24"/>
          <w:highlight w:val="none"/>
        </w:rPr>
        <w:t>23.3</w:t>
      </w:r>
      <w:r>
        <w:rPr>
          <w:rFonts w:hint="eastAsia" w:ascii="仿宋" w:hAnsi="仿宋" w:eastAsia="仿宋" w:cs="仿宋"/>
          <w:bCs/>
          <w:color w:val="auto"/>
          <w:sz w:val="24"/>
          <w:szCs w:val="24"/>
          <w:highlight w:val="none"/>
        </w:rPr>
        <w:t>采购人确定成交供应商过程中，发现成交候选供应商有下列情形之一的，应当不予确定其为成交供应商：</w:t>
      </w:r>
    </w:p>
    <w:p w14:paraId="2EAB6AA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（1）发现成交候选供应商存在禁止参加本项目采购活动的违法行为的；</w:t>
      </w:r>
    </w:p>
    <w:p w14:paraId="4BF9114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（2）成交候选供应商因不可抗力，不能继续参加政府采购活动；</w:t>
      </w:r>
    </w:p>
    <w:p w14:paraId="3F2951B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（3）成交候选供应商无偿赠与或者低价不正当竞争；</w:t>
      </w:r>
    </w:p>
    <w:p w14:paraId="7FE56490">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（4）成交候选供应商提供虚假材料；</w:t>
      </w:r>
    </w:p>
    <w:p w14:paraId="6A05573A">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（5）成交候选供应商恶意串通。</w:t>
      </w:r>
    </w:p>
    <w:p w14:paraId="1FF53633">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24.成交结果</w:t>
      </w:r>
    </w:p>
    <w:p w14:paraId="633F6BF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采购人确定成交供应商后，将及时发布成交结果公告，向成交供应商发出成交通知书。</w:t>
      </w:r>
    </w:p>
    <w:p w14:paraId="6125C2AA">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25.成交通知书</w:t>
      </w:r>
    </w:p>
    <w:p w14:paraId="3948C92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25.1成交通知书为签订采购合同的依据之一，是合同的有效组成部分。</w:t>
      </w:r>
    </w:p>
    <w:p w14:paraId="50DEC10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25.2成交通知书对采购人和成交供应商均具有法律效力。成交通知书发出后，采购人无正当理由改变成交结果，或者成交供应商无正当理由放弃成交的，将承担相应的法律责任。</w:t>
      </w:r>
    </w:p>
    <w:p w14:paraId="56403B1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25.3成交供应商的响应文件作为无效响应文件处理或者有采购法律法规规章制度规定的成交无效情形的，采购人在取得有权主体的认定以后，有权宣布发出的成交通知书无效，并收回发出的成交通知书，依法重新确定成交供应商或者重新开展采购活动。</w:t>
      </w:r>
    </w:p>
    <w:p w14:paraId="2E1B98E8">
      <w:pPr>
        <w:pStyle w:val="23"/>
        <w:snapToGrid w:val="0"/>
        <w:spacing w:line="312" w:lineRule="auto"/>
        <w:ind w:firstLine="480" w:firstLineChars="200"/>
        <w:rPr>
          <w:rFonts w:ascii="仿宋" w:hAnsi="仿宋" w:eastAsia="仿宋" w:cs="仿宋"/>
          <w:bCs/>
          <w:color w:val="auto"/>
          <w:highlight w:val="none"/>
        </w:rPr>
      </w:pPr>
      <w:r>
        <w:rPr>
          <w:rFonts w:ascii="仿宋" w:hAnsi="仿宋" w:eastAsia="仿宋" w:cs="仿宋"/>
          <w:color w:val="auto"/>
          <w:highlight w:val="none"/>
        </w:rPr>
        <w:t>25.4 成交公告发布当日，</w:t>
      </w:r>
      <w:r>
        <w:rPr>
          <w:rFonts w:ascii="仿宋" w:hAnsi="仿宋" w:eastAsia="仿宋" w:cs="仿宋"/>
          <w:bCs/>
          <w:color w:val="auto"/>
          <w:highlight w:val="none"/>
        </w:rPr>
        <w:t>成交供应商应当领取成交通知书。</w:t>
      </w:r>
    </w:p>
    <w:p w14:paraId="255C924A">
      <w:pPr>
        <w:pStyle w:val="23"/>
        <w:snapToGrid w:val="0"/>
        <w:spacing w:line="312" w:lineRule="auto"/>
        <w:ind w:firstLine="480" w:firstLineChars="200"/>
        <w:rPr>
          <w:rFonts w:ascii="仿宋" w:hAnsi="仿宋" w:eastAsia="仿宋" w:cs="仿宋"/>
          <w:color w:val="auto"/>
          <w:highlight w:val="none"/>
        </w:rPr>
      </w:pPr>
      <w:r>
        <w:rPr>
          <w:rFonts w:ascii="仿宋" w:hAnsi="仿宋" w:eastAsia="仿宋" w:cs="仿宋"/>
          <w:color w:val="auto"/>
          <w:highlight w:val="none"/>
        </w:rPr>
        <w:t>25.5成交供应商不能及时领取成交通知书，采购人应当通过邮寄、快递等方式将项目成交通知书送达成交供应商。</w:t>
      </w:r>
    </w:p>
    <w:p w14:paraId="531CBE8C">
      <w:pPr>
        <w:pStyle w:val="3"/>
        <w:keepNext w:val="0"/>
        <w:keepLines w:val="0"/>
        <w:snapToGrid w:val="0"/>
        <w:spacing w:before="0" w:after="0"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rPr>
        <w:t>七、合同事项</w:t>
      </w:r>
    </w:p>
    <w:p w14:paraId="2616E8C4">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bookmarkStart w:id="67" w:name="_Toc430773927"/>
      <w:bookmarkStart w:id="68" w:name="_Toc101250646"/>
      <w:bookmarkStart w:id="69" w:name="_Toc101338364"/>
      <w:bookmarkStart w:id="70" w:name="_Toc209847069"/>
      <w:bookmarkStart w:id="71" w:name="_Toc101174151"/>
      <w:r>
        <w:rPr>
          <w:rFonts w:hint="eastAsia" w:ascii="仿宋" w:hAnsi="仿宋" w:eastAsia="仿宋" w:cs="仿宋"/>
          <w:color w:val="auto"/>
          <w:sz w:val="24"/>
          <w:szCs w:val="24"/>
          <w:highlight w:val="none"/>
        </w:rPr>
        <w:t>26.签订合同</w:t>
      </w:r>
      <w:bookmarkEnd w:id="67"/>
      <w:bookmarkEnd w:id="68"/>
      <w:bookmarkEnd w:id="69"/>
      <w:bookmarkEnd w:id="70"/>
      <w:bookmarkEnd w:id="71"/>
    </w:p>
    <w:p w14:paraId="195B7A4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成交供应商应在成交通知书发出之日起</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日内，按照磋商文件、响应文件以及磋商过程中确定的事项与采购人签订采购合同。由于成交供应商的原因逾期未与采购人签订采购合同的，将视为放弃成交，取消其成交资格并将按相关规定进行处理。</w:t>
      </w:r>
    </w:p>
    <w:p w14:paraId="54E75F8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磋商文件、成交供应商的响应文件及双方确认的澄清文件等，均为有法律约束力的合同组成部分。</w:t>
      </w:r>
    </w:p>
    <w:p w14:paraId="5E53A33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2753409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26.4 成交供应商因不可抗力原因不能履行采购合同或放弃成交的，采购人可以与排在成交供应商之后第一位的成交候选人签订采购合同，以此类推。</w:t>
      </w:r>
    </w:p>
    <w:p w14:paraId="162071C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26.5竞争性磋商文件、成交供应商提交的响应文件、磋商中的最后报价、成交供应商承诺书、成交通知书等均称为有法律约束力的合同组成内容。</w:t>
      </w:r>
    </w:p>
    <w:p w14:paraId="44FB7DF6">
      <w:pPr>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27.合同分包（实质性要求）</w:t>
      </w:r>
    </w:p>
    <w:p w14:paraId="5A8B3813">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27.1 </w:t>
      </w:r>
      <w:r>
        <w:rPr>
          <w:rFonts w:hint="eastAsia" w:ascii="仿宋" w:hAnsi="仿宋" w:eastAsia="仿宋" w:cs="仿宋"/>
          <w:b/>
          <w:bCs/>
          <w:color w:val="auto"/>
          <w:sz w:val="24"/>
          <w:highlight w:val="none"/>
        </w:rPr>
        <w:t>若本项目</w:t>
      </w:r>
      <w:r>
        <w:rPr>
          <w:rFonts w:hint="eastAsia" w:ascii="仿宋" w:hAnsi="仿宋" w:eastAsia="仿宋" w:cs="仿宋"/>
          <w:b/>
          <w:bCs/>
          <w:color w:val="auto"/>
          <w:sz w:val="24"/>
          <w:highlight w:val="none"/>
          <w:lang w:eastAsia="zh-CN"/>
        </w:rPr>
        <w:t>不</w:t>
      </w:r>
      <w:r>
        <w:rPr>
          <w:rFonts w:hint="eastAsia" w:ascii="仿宋" w:hAnsi="仿宋" w:eastAsia="仿宋" w:cs="仿宋"/>
          <w:b/>
          <w:bCs/>
          <w:color w:val="auto"/>
          <w:sz w:val="24"/>
          <w:highlight w:val="none"/>
        </w:rPr>
        <w:t>允许分包</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是否允许分包以“供应商须知附表”规定为准</w:t>
      </w:r>
      <w:r>
        <w:rPr>
          <w:rFonts w:hint="eastAsia" w:ascii="仿宋" w:hAnsi="仿宋" w:eastAsia="仿宋" w:cs="仿宋"/>
          <w:color w:val="auto"/>
          <w:sz w:val="24"/>
          <w:highlight w:val="none"/>
        </w:rPr>
        <w:t>），采购合同实行分包履行的，成交供应商就采购项目和分包项目向采购人负责，分包供应商就分包项目承担责任。履行分包项目事项应当具备法定资质规定要求的，分包供应商应当具备相应资质。</w:t>
      </w:r>
    </w:p>
    <w:p w14:paraId="5679EC20">
      <w:pPr>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28.合同转包（实质性要求）</w:t>
      </w:r>
    </w:p>
    <w:p w14:paraId="30D3332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8727BF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成交供应商转包的，视同拒绝履行采购合同义务，将依法追究法律责任。</w:t>
      </w:r>
    </w:p>
    <w:p w14:paraId="4B4A0D71">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29.补充合同</w:t>
      </w:r>
    </w:p>
    <w:p w14:paraId="73BD3E1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56AF86CC">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30.履约保证金（</w:t>
      </w:r>
      <w:r>
        <w:rPr>
          <w:rFonts w:hint="eastAsia" w:ascii="仿宋" w:hAnsi="仿宋" w:eastAsia="仿宋" w:cs="仿宋"/>
          <w:bCs/>
          <w:color w:val="auto"/>
          <w:sz w:val="24"/>
          <w:highlight w:val="none"/>
          <w:lang w:val="en-US"/>
        </w:rPr>
        <w:t>实质性要求</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本项目不涉及</w:t>
      </w:r>
      <w:r>
        <w:rPr>
          <w:rFonts w:hint="eastAsia" w:ascii="仿宋" w:hAnsi="仿宋" w:eastAsia="仿宋" w:cs="仿宋"/>
          <w:bCs/>
          <w:color w:val="auto"/>
          <w:sz w:val="24"/>
          <w:highlight w:val="none"/>
          <w:lang w:eastAsia="zh-CN"/>
        </w:rPr>
        <w:t>）</w:t>
      </w:r>
    </w:p>
    <w:p w14:paraId="5444F3B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30.1 成交供应商应在合同签订之前交纳磋商文件规定数额的履约保证金（见“供应商须知附表”）。</w:t>
      </w:r>
    </w:p>
    <w:p w14:paraId="206FFA31">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30.2 如果成交供应商在规定的合同签订时间内，没有按照磋商文件的规定交纳履约保证金，且又无正当理由的，将视为放弃成交。</w:t>
      </w:r>
    </w:p>
    <w:p w14:paraId="3DBD946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30.3履约保证金退还方式及时间：服务期满成交人无违约情况</w:t>
      </w:r>
      <w:r>
        <w:rPr>
          <w:rFonts w:hint="eastAsia" w:ascii="仿宋" w:hAnsi="仿宋" w:eastAsia="仿宋" w:cs="仿宋"/>
          <w:color w:val="auto"/>
          <w:sz w:val="24"/>
          <w:szCs w:val="24"/>
          <w:highlight w:val="none"/>
        </w:rPr>
        <w:t>15个工作日内</w:t>
      </w:r>
      <w:r>
        <w:rPr>
          <w:rFonts w:hint="eastAsia" w:ascii="仿宋" w:hAnsi="仿宋" w:eastAsia="仿宋" w:cs="仿宋"/>
          <w:color w:val="auto"/>
          <w:sz w:val="24"/>
          <w:szCs w:val="24"/>
          <w:highlight w:val="none"/>
          <w:lang w:val="zh-CN"/>
        </w:rPr>
        <w:t>无息退还。采用保函形式缴纳的履约保证金的，合同服务满保函自动终止。</w:t>
      </w:r>
    </w:p>
    <w:p w14:paraId="1D92E8A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30.4履约保证金不予退还情形：</w:t>
      </w:r>
    </w:p>
    <w:p w14:paraId="312BBB12">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（1）成交人不履行与采购人订立的合同的，给采购人造成的损失超过履约保证金数额的，还应当对超过部分予以赔偿；</w:t>
      </w:r>
    </w:p>
    <w:p w14:paraId="7EBC6460">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（2）项目验收结果不合格的；</w:t>
      </w:r>
    </w:p>
    <w:p w14:paraId="51FF20BF">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（3）其他违反国家相关法律法规的情形；</w:t>
      </w:r>
    </w:p>
    <w:p w14:paraId="28F15EC3">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（4）采购文件中规定不予退还的情形。</w:t>
      </w:r>
    </w:p>
    <w:p w14:paraId="294A2D1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30.5履约保证金不予退还的，将按照有关规定上缴国库。逾期退还履约保证金的，将依法承担法律责任。</w:t>
      </w:r>
    </w:p>
    <w:p w14:paraId="58845CE2">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.履行合同</w:t>
      </w:r>
    </w:p>
    <w:p w14:paraId="00A70A06">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 成交供应商与采购人签订合同后，合同双方应严格执行合同条款，履行合同规定的义务，保证合同的顺利完成。</w:t>
      </w:r>
    </w:p>
    <w:p w14:paraId="4009D2FD">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 在合同履行过程中，如发生合同纠纷，合同双方应按照《中华人民共和国民法典》的有关规定进行处理。</w:t>
      </w:r>
    </w:p>
    <w:p w14:paraId="2A36D4EE">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.验收</w:t>
      </w:r>
    </w:p>
    <w:p w14:paraId="0282274C">
      <w:pPr>
        <w:tabs>
          <w:tab w:val="left" w:pos="7665"/>
        </w:tabs>
        <w:snapToGrid w:val="0"/>
        <w:spacing w:line="312"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详见第五章。</w:t>
      </w:r>
    </w:p>
    <w:p w14:paraId="6002320A">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.资金支付</w:t>
      </w:r>
    </w:p>
    <w:p w14:paraId="50ACE92F">
      <w:pPr>
        <w:tabs>
          <w:tab w:val="left" w:pos="7665"/>
        </w:tabs>
        <w:snapToGrid w:val="0"/>
        <w:spacing w:line="312"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.1采购人将按照政府采购合同规定，及时向成交供应商支付采购资金。</w:t>
      </w:r>
    </w:p>
    <w:p w14:paraId="0D3DA0B9">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.2本项目采购资金支付方式为：详见磋商文件第五章。</w:t>
      </w:r>
    </w:p>
    <w:p w14:paraId="130C769F">
      <w:pPr>
        <w:pStyle w:val="3"/>
        <w:keepLines w:val="0"/>
        <w:tabs>
          <w:tab w:val="left" w:pos="851"/>
        </w:tabs>
        <w:snapToGrid w:val="0"/>
        <w:spacing w:before="0" w:after="0" w:line="312" w:lineRule="auto"/>
        <w:jc w:val="center"/>
        <w:rPr>
          <w:rFonts w:hint="eastAsia" w:ascii="仿宋" w:hAnsi="仿宋" w:eastAsia="仿宋" w:cs="仿宋"/>
          <w:color w:val="auto"/>
          <w:sz w:val="24"/>
          <w:highlight w:val="none"/>
        </w:rPr>
      </w:pPr>
      <w:r>
        <w:rPr>
          <w:rFonts w:hint="eastAsia" w:ascii="仿宋" w:hAnsi="仿宋" w:eastAsia="仿宋" w:cs="仿宋"/>
          <w:color w:val="auto"/>
          <w:highlight w:val="none"/>
        </w:rPr>
        <w:t>八、磋商纪律要求</w:t>
      </w:r>
    </w:p>
    <w:p w14:paraId="295B96BE">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.供应商不得具有的情形</w:t>
      </w:r>
    </w:p>
    <w:p w14:paraId="27CCA4D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供应商参加本项目磋商不得有下列情形：</w:t>
      </w:r>
    </w:p>
    <w:p w14:paraId="484F76BB">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（1）提供虚假材料谋取成交；</w:t>
      </w:r>
    </w:p>
    <w:p w14:paraId="412A7B19">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（2）采取不正当手段诋毁、排挤其他供应商；</w:t>
      </w:r>
    </w:p>
    <w:p w14:paraId="34FFC6B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（3）与采购人、或其他供应商恶意串通；</w:t>
      </w:r>
    </w:p>
    <w:p w14:paraId="427A9D0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（4）向采购人、磋商小组成员行贿或者提供其他不正当利益；</w:t>
      </w:r>
    </w:p>
    <w:p w14:paraId="20D986A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（5）在磋商过程中与采购人进行协商；</w:t>
      </w:r>
    </w:p>
    <w:p w14:paraId="541EC90C">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（6）成交后无正当理由拒不与采购人签订政府采购合同；</w:t>
      </w:r>
    </w:p>
    <w:p w14:paraId="28B8307C">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（7）未按照磋商文件确定的事项签订政府采购合同；</w:t>
      </w:r>
    </w:p>
    <w:p w14:paraId="15153BB4">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（8）将政府采购合同转包或者违规分包；</w:t>
      </w:r>
    </w:p>
    <w:p w14:paraId="28916375">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（9）提供假冒伪劣产品；</w:t>
      </w:r>
    </w:p>
    <w:p w14:paraId="111F7374">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（10）擅自变更、中止或者终止政府采购合同；</w:t>
      </w:r>
    </w:p>
    <w:p w14:paraId="42073419">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（11）被列入失信被执行人、重大税收违法案件当事人名单、政府采购严重违法失信行为记录名单。参加政府采购活动前三年内，在经营活动中有重大违法记录；</w:t>
      </w:r>
    </w:p>
    <w:p w14:paraId="571C4C2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（12）根据中国裁判文书网（https://wenshu.court.gov.cn）查询结果成交候选供应商及其现任法定代表人/主要负责人有行贿犯罪记录；</w:t>
      </w:r>
    </w:p>
    <w:p w14:paraId="2A9A17BB">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（13）处于被行政部门禁止参与政府采购活动的期限内；</w:t>
      </w:r>
    </w:p>
    <w:p w14:paraId="4B9F3EA3">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（14）拒绝有关部门的监督检查或者向监督检查部门提供虚假情况；</w:t>
      </w:r>
    </w:p>
    <w:p w14:paraId="5DC0CE33">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（15）法律法规规定的其他情形。</w:t>
      </w:r>
    </w:p>
    <w:p w14:paraId="06401CD1">
      <w:pPr>
        <w:tabs>
          <w:tab w:val="left" w:pos="851"/>
        </w:tabs>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供应商有上述情形的，按照规定追究法律责任，具备（1）-（7）、（11）-（13）条情形之一的，同时将取消被确认为成交供应商的资格或者认定成交无效。</w:t>
      </w:r>
    </w:p>
    <w:p w14:paraId="2F5C46D6">
      <w:pPr>
        <w:pStyle w:val="3"/>
        <w:keepLines w:val="0"/>
        <w:snapToGrid w:val="0"/>
        <w:spacing w:before="0" w:after="0" w:line="312" w:lineRule="auto"/>
        <w:jc w:val="center"/>
        <w:rPr>
          <w:rFonts w:hint="eastAsia" w:ascii="仿宋" w:hAnsi="仿宋" w:eastAsia="仿宋" w:cs="仿宋"/>
          <w:bCs w:val="0"/>
          <w:color w:val="auto"/>
          <w:sz w:val="24"/>
          <w:highlight w:val="none"/>
        </w:rPr>
      </w:pPr>
      <w:r>
        <w:rPr>
          <w:rFonts w:hint="eastAsia" w:ascii="仿宋" w:hAnsi="仿宋" w:eastAsia="仿宋" w:cs="仿宋"/>
          <w:bCs w:val="0"/>
          <w:color w:val="auto"/>
          <w:highlight w:val="none"/>
        </w:rPr>
        <w:t>九、询问、质疑和投诉</w:t>
      </w:r>
    </w:p>
    <w:p w14:paraId="7290760D">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35.询问</w:t>
      </w:r>
    </w:p>
    <w:p w14:paraId="027C2771">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供应商对采购活动有疑问的，可以向采购人提出询问。供应商对采购文件中的技术、商务及其他要求、定标结果的询问，应向采购人提出。</w:t>
      </w:r>
    </w:p>
    <w:p w14:paraId="2CAF0BA7">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询问应当明确询问事项，以书面形式提出，并由供应商签字或者加盖公章。</w:t>
      </w:r>
    </w:p>
    <w:p w14:paraId="403E3DD7">
      <w:pPr>
        <w:tabs>
          <w:tab w:val="left" w:pos="0"/>
        </w:tabs>
        <w:spacing w:line="360" w:lineRule="auto"/>
        <w:ind w:firstLine="482" w:firstLineChars="200"/>
        <w:rPr>
          <w:rFonts w:cs="宋体"/>
          <w:b/>
          <w:bCs/>
        </w:rPr>
      </w:pPr>
      <w:r>
        <w:rPr>
          <w:rFonts w:hint="eastAsia" w:ascii="仿宋" w:hAnsi="仿宋" w:eastAsia="仿宋" w:cs="仿宋"/>
          <w:b/>
          <w:color w:val="auto"/>
          <w:sz w:val="24"/>
          <w:highlight w:val="none"/>
        </w:rPr>
        <w:t>35.1质疑、投诉</w:t>
      </w:r>
    </w:p>
    <w:p w14:paraId="50C6FAA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供应商如认为磋商文件使自己的合法权益受到损害，可按照以上规定程序和办法提出质疑。供应商对可以质疑的采购文件提出质疑的，须在购买采购文件之日起7个工作日内提出，逾期提交的质疑不予受理。</w:t>
      </w:r>
    </w:p>
    <w:p w14:paraId="49EC4F78">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供应商在法定质疑期内一次性提出针对同一采购程序环节的质疑。</w:t>
      </w:r>
    </w:p>
    <w:p w14:paraId="660F8525">
      <w:pPr>
        <w:tabs>
          <w:tab w:val="left" w:pos="7665"/>
        </w:tabs>
        <w:snapToGrid w:val="0"/>
        <w:spacing w:line="312" w:lineRule="auto"/>
        <w:ind w:firstLine="480" w:firstLineChars="200"/>
        <w:rPr>
          <w:rFonts w:hint="eastAsia" w:cs="宋体"/>
        </w:rPr>
      </w:pPr>
      <w:r>
        <w:rPr>
          <w:rFonts w:hint="eastAsia" w:ascii="仿宋" w:hAnsi="仿宋" w:eastAsia="仿宋" w:cs="仿宋"/>
          <w:color w:val="auto"/>
          <w:kern w:val="0"/>
          <w:sz w:val="24"/>
          <w:highlight w:val="none"/>
        </w:rPr>
        <w:t>质疑、投诉应当采用书面形式，质疑书、投诉书均应明确阐述磋商文件、磋商过程、成交结果中使自己的合法权益受到损害的实质性内容，提供相关事实、依据和证据及其来源或线索，并确保真实性，便于有关单位调查、答复和处理。质疑人行使质疑权时，必须坚持“谁主张谁举证”，遵守“实事求是”和“谨慎性”原则，不得进行虚假、恶意质疑，不得以质疑为手段获取不当得利、实现非法目的</w:t>
      </w:r>
      <w:r>
        <w:rPr>
          <w:rFonts w:hint="eastAsia" w:cs="宋体"/>
        </w:rPr>
        <w:t>。</w:t>
      </w:r>
    </w:p>
    <w:p w14:paraId="10450E63">
      <w:pPr>
        <w:pStyle w:val="3"/>
        <w:keepLines w:val="0"/>
        <w:snapToGrid w:val="0"/>
        <w:spacing w:before="0" w:after="0" w:line="312" w:lineRule="auto"/>
        <w:jc w:val="center"/>
        <w:rPr>
          <w:rFonts w:hint="eastAsia" w:ascii="仿宋" w:hAnsi="仿宋" w:eastAsia="仿宋" w:cs="仿宋"/>
          <w:bCs w:val="0"/>
          <w:color w:val="auto"/>
          <w:highlight w:val="none"/>
          <w:lang w:val="en-US" w:eastAsia="zh-CN"/>
        </w:rPr>
      </w:pPr>
      <w:r>
        <w:rPr>
          <w:rFonts w:hint="eastAsia" w:ascii="仿宋" w:hAnsi="仿宋" w:eastAsia="仿宋" w:cs="仿宋"/>
          <w:bCs w:val="0"/>
          <w:color w:val="auto"/>
          <w:highlight w:val="none"/>
          <w:lang w:val="en-US" w:eastAsia="zh-CN"/>
        </w:rPr>
        <w:t>十、其他</w:t>
      </w:r>
    </w:p>
    <w:p w14:paraId="48E86385">
      <w:pPr>
        <w:pStyle w:val="4"/>
        <w:keepLines w:val="0"/>
        <w:numPr>
          <w:ilvl w:val="0"/>
          <w:numId w:val="0"/>
        </w:numPr>
        <w:snapToGrid w:val="0"/>
        <w:spacing w:before="0" w:after="0" w:line="312"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36</w:t>
      </w:r>
      <w:r>
        <w:rPr>
          <w:rFonts w:hint="eastAsia" w:ascii="仿宋" w:hAnsi="仿宋" w:eastAsia="仿宋" w:cs="仿宋"/>
          <w:b w:val="0"/>
          <w:bCs/>
          <w:color w:val="auto"/>
          <w:sz w:val="24"/>
          <w:highlight w:val="none"/>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52C9DD8B">
      <w:pPr>
        <w:pStyle w:val="4"/>
        <w:keepLines w:val="0"/>
        <w:snapToGrid w:val="0"/>
        <w:spacing w:before="0" w:after="0" w:line="312" w:lineRule="auto"/>
        <w:ind w:firstLine="482" w:firstLineChars="200"/>
        <w:rPr>
          <w:rFonts w:hint="eastAsia" w:ascii="仿宋" w:hAnsi="仿宋" w:eastAsia="仿宋" w:cs="仿宋"/>
          <w:b/>
          <w:bCs/>
          <w:color w:val="auto"/>
          <w:kern w:val="2"/>
          <w:sz w:val="24"/>
          <w:szCs w:val="22"/>
          <w:highlight w:val="none"/>
          <w:lang w:val="en-US" w:eastAsia="zh-CN" w:bidi="ar-SA"/>
        </w:rPr>
      </w:pPr>
      <w:r>
        <w:rPr>
          <w:rFonts w:hint="eastAsia" w:ascii="仿宋" w:hAnsi="仿宋" w:eastAsia="仿宋" w:cs="仿宋"/>
          <w:b/>
          <w:bCs/>
          <w:color w:val="auto"/>
          <w:kern w:val="2"/>
          <w:sz w:val="24"/>
          <w:szCs w:val="22"/>
          <w:highlight w:val="none"/>
          <w:lang w:val="en-US" w:eastAsia="zh-CN" w:bidi="ar-SA"/>
        </w:rPr>
        <w:t>37.（实质性要求）国家或行业主管部门对供应商和采购产品的技术标准、质量标准和资格资质条件等有强制性规定的，必须符合其要求。</w:t>
      </w:r>
    </w:p>
    <w:p w14:paraId="7EBC76DE">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72" w:name="_Toc36562444"/>
      <w:bookmarkStart w:id="73" w:name="_Toc10848"/>
      <w:bookmarkStart w:id="74" w:name="_Toc6958"/>
      <w:r>
        <w:rPr>
          <w:rFonts w:hint="eastAsia" w:ascii="仿宋" w:hAnsi="仿宋" w:eastAsia="仿宋" w:cs="仿宋"/>
          <w:color w:val="auto"/>
          <w:sz w:val="36"/>
          <w:szCs w:val="36"/>
          <w:highlight w:val="none"/>
        </w:rPr>
        <w:t>第三章  供应商</w:t>
      </w:r>
      <w:r>
        <w:rPr>
          <w:rFonts w:hint="eastAsia" w:ascii="仿宋" w:hAnsi="仿宋" w:eastAsia="仿宋" w:cs="仿宋"/>
          <w:color w:val="auto"/>
          <w:sz w:val="36"/>
          <w:szCs w:val="36"/>
          <w:highlight w:val="none"/>
          <w:lang w:val="zh-CN"/>
        </w:rPr>
        <w:t>和</w:t>
      </w:r>
      <w:r>
        <w:rPr>
          <w:rFonts w:hint="eastAsia" w:ascii="仿宋" w:hAnsi="仿宋" w:eastAsia="仿宋" w:cs="仿宋"/>
          <w:color w:val="auto"/>
          <w:sz w:val="36"/>
          <w:szCs w:val="36"/>
          <w:highlight w:val="none"/>
        </w:rPr>
        <w:t>报价</w:t>
      </w:r>
      <w:r>
        <w:rPr>
          <w:rFonts w:hint="eastAsia" w:ascii="仿宋" w:hAnsi="仿宋" w:eastAsia="仿宋" w:cs="仿宋"/>
          <w:color w:val="auto"/>
          <w:sz w:val="36"/>
          <w:szCs w:val="36"/>
          <w:highlight w:val="none"/>
          <w:lang w:val="zh-CN"/>
        </w:rPr>
        <w:t>产品的资格、资质性</w:t>
      </w:r>
      <w:bookmarkStart w:id="75" w:name="_Toc415515267"/>
      <w:r>
        <w:rPr>
          <w:rFonts w:hint="eastAsia" w:ascii="仿宋" w:hAnsi="仿宋" w:eastAsia="仿宋" w:cs="仿宋"/>
          <w:color w:val="auto"/>
          <w:sz w:val="36"/>
          <w:szCs w:val="36"/>
          <w:highlight w:val="none"/>
          <w:lang w:val="zh-CN"/>
        </w:rPr>
        <w:t>及其他类似效力要求</w:t>
      </w:r>
      <w:bookmarkEnd w:id="72"/>
      <w:bookmarkEnd w:id="73"/>
      <w:bookmarkEnd w:id="74"/>
      <w:bookmarkEnd w:id="75"/>
    </w:p>
    <w:p w14:paraId="7613377C">
      <w:pPr>
        <w:pStyle w:val="3"/>
        <w:keepLines w:val="0"/>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一、资格、</w:t>
      </w:r>
      <w:r>
        <w:rPr>
          <w:rFonts w:hint="eastAsia" w:ascii="仿宋" w:hAnsi="仿宋" w:eastAsia="仿宋" w:cs="仿宋"/>
          <w:color w:val="auto"/>
          <w:sz w:val="28"/>
          <w:szCs w:val="28"/>
          <w:highlight w:val="none"/>
          <w:lang w:val="en-US"/>
        </w:rPr>
        <w:t>资质性</w:t>
      </w:r>
      <w:r>
        <w:rPr>
          <w:rFonts w:hint="eastAsia" w:ascii="仿宋" w:hAnsi="仿宋" w:eastAsia="仿宋" w:cs="仿宋"/>
          <w:color w:val="auto"/>
          <w:sz w:val="28"/>
          <w:szCs w:val="28"/>
          <w:highlight w:val="none"/>
        </w:rPr>
        <w:t>要求</w:t>
      </w:r>
    </w:p>
    <w:p w14:paraId="27025128">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（一）满足《中华人民共和国政府采购法》第二十二条规定：</w:t>
      </w:r>
    </w:p>
    <w:p w14:paraId="474E5BD0">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1、具有独立承担民事责任的能力；</w:t>
      </w:r>
    </w:p>
    <w:p w14:paraId="5209566F">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2、具有良好的商业信誉和健全的财务会计制度；</w:t>
      </w:r>
    </w:p>
    <w:p w14:paraId="67041621">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3、具有履行合同所必需的设备和专业技术能力；</w:t>
      </w:r>
    </w:p>
    <w:p w14:paraId="3DB5DF9F">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4、有依法缴纳税收和社会保障资金的良好记录；</w:t>
      </w:r>
    </w:p>
    <w:p w14:paraId="5122CD2E">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5、参加采购活动前三年内，在经营活动中没有重大违法记录；</w:t>
      </w:r>
    </w:p>
    <w:p w14:paraId="0D43F310">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6、法律、行政法规规定的其他条件。</w:t>
      </w:r>
    </w:p>
    <w:p w14:paraId="3D3E8D55">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（二）落实政府采购政策需满足的资格要求：无。</w:t>
      </w:r>
    </w:p>
    <w:p w14:paraId="41B9DE58">
      <w:pPr>
        <w:pStyle w:val="3"/>
        <w:keepLines w:val="0"/>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二、</w:t>
      </w:r>
      <w:r>
        <w:rPr>
          <w:rFonts w:hint="eastAsia" w:ascii="仿宋" w:hAnsi="仿宋" w:eastAsia="仿宋" w:cs="仿宋"/>
          <w:color w:val="auto"/>
          <w:sz w:val="28"/>
          <w:szCs w:val="28"/>
          <w:highlight w:val="none"/>
        </w:rPr>
        <w:t>其他类似效力要求：</w:t>
      </w:r>
    </w:p>
    <w:p w14:paraId="28A6BA4B">
      <w:pPr>
        <w:pStyle w:val="26"/>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1、参加本次磋商活动的供应商代表证明材料。</w:t>
      </w:r>
    </w:p>
    <w:p w14:paraId="5B223AB5">
      <w:pPr>
        <w:pStyle w:val="26"/>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、列入失信被执行人名单、重大税收违法案件当事人名单、政府采购严重违法失信行为记录名单中的供应商不得参加本项目的采购活动。</w:t>
      </w:r>
    </w:p>
    <w:p w14:paraId="7C26F5C7">
      <w:pPr>
        <w:pStyle w:val="26"/>
        <w:snapToGrid w:val="0"/>
        <w:spacing w:line="312" w:lineRule="auto"/>
        <w:ind w:firstLine="480"/>
        <w:rPr>
          <w:rFonts w:hint="eastAsia" w:ascii="仿宋" w:hAnsi="仿宋" w:eastAsia="仿宋" w:cs="仿宋"/>
          <w:color w:val="auto"/>
          <w:sz w:val="24"/>
          <w:highlight w:val="none"/>
        </w:rPr>
      </w:pPr>
    </w:p>
    <w:p w14:paraId="2E0C08D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w:t>
      </w:r>
      <w:r>
        <w:rPr>
          <w:rFonts w:hint="eastAsia" w:ascii="仿宋" w:hAnsi="仿宋" w:eastAsia="仿宋" w:cs="仿宋"/>
          <w:bCs/>
          <w:color w:val="auto"/>
          <w:sz w:val="24"/>
          <w:highlight w:val="none"/>
        </w:rPr>
        <w:t>1、</w:t>
      </w:r>
      <w:r>
        <w:rPr>
          <w:rFonts w:hint="eastAsia" w:ascii="仿宋" w:hAnsi="仿宋" w:eastAsia="仿宋" w:cs="仿宋"/>
          <w:bCs/>
          <w:color w:val="auto"/>
          <w:kern w:val="0"/>
          <w:sz w:val="24"/>
          <w:highlight w:val="none"/>
        </w:rPr>
        <w:t>重大违法记录，是指供应商因违法经营受到刑事处罚或者责令停产停业、吊销许可证或者执照、较大数额罚款等行政处罚。</w:t>
      </w:r>
    </w:p>
    <w:p w14:paraId="5EF7ED75">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2、本项目确定供应商重大违法记录中较大数额罚款的金额标准是指：因违法经营受到200万元以上的罚款，法律、行政法规以及国务院有关部门明确规定相关领域“较大数额罚款”标准高于200万元的，从其规定。</w:t>
      </w:r>
    </w:p>
    <w:p w14:paraId="4AD357D7">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76" w:name="_Toc36562445"/>
      <w:bookmarkStart w:id="77" w:name="_Toc7984"/>
      <w:bookmarkStart w:id="78" w:name="_Toc6787"/>
      <w:r>
        <w:rPr>
          <w:rFonts w:hint="eastAsia" w:ascii="仿宋" w:hAnsi="仿宋" w:eastAsia="仿宋" w:cs="仿宋"/>
          <w:color w:val="auto"/>
          <w:sz w:val="36"/>
          <w:szCs w:val="36"/>
          <w:highlight w:val="none"/>
        </w:rPr>
        <w:t xml:space="preserve">第四章 </w:t>
      </w:r>
      <w:bookmarkEnd w:id="76"/>
      <w:bookmarkEnd w:id="77"/>
      <w:r>
        <w:rPr>
          <w:rFonts w:hint="eastAsia" w:ascii="仿宋" w:hAnsi="仿宋" w:eastAsia="仿宋" w:cs="仿宋"/>
          <w:color w:val="auto"/>
          <w:sz w:val="36"/>
          <w:szCs w:val="36"/>
          <w:highlight w:val="none"/>
        </w:rPr>
        <w:t>供应商</w:t>
      </w:r>
      <w:r>
        <w:rPr>
          <w:rFonts w:hint="eastAsia" w:ascii="仿宋" w:hAnsi="仿宋" w:eastAsia="仿宋" w:cs="仿宋"/>
          <w:color w:val="auto"/>
          <w:sz w:val="36"/>
          <w:szCs w:val="36"/>
          <w:highlight w:val="none"/>
          <w:lang w:val="zh-CN"/>
        </w:rPr>
        <w:t>和</w:t>
      </w:r>
      <w:r>
        <w:rPr>
          <w:rFonts w:hint="eastAsia" w:ascii="仿宋" w:hAnsi="仿宋" w:eastAsia="仿宋" w:cs="仿宋"/>
          <w:color w:val="auto"/>
          <w:sz w:val="36"/>
          <w:szCs w:val="36"/>
          <w:highlight w:val="none"/>
        </w:rPr>
        <w:t>报价</w:t>
      </w:r>
      <w:r>
        <w:rPr>
          <w:rFonts w:hint="eastAsia" w:ascii="仿宋" w:hAnsi="仿宋" w:eastAsia="仿宋" w:cs="仿宋"/>
          <w:color w:val="auto"/>
          <w:sz w:val="36"/>
          <w:szCs w:val="36"/>
          <w:highlight w:val="none"/>
          <w:lang w:val="zh-CN"/>
        </w:rPr>
        <w:t>产品应当提供的资格、资质性及其他类似效力要求的</w:t>
      </w:r>
      <w:bookmarkStart w:id="79" w:name="_Toc415515269"/>
      <w:r>
        <w:rPr>
          <w:rFonts w:hint="eastAsia" w:ascii="仿宋" w:hAnsi="仿宋" w:eastAsia="仿宋" w:cs="仿宋"/>
          <w:color w:val="auto"/>
          <w:sz w:val="36"/>
          <w:szCs w:val="36"/>
          <w:highlight w:val="none"/>
          <w:lang w:val="zh-CN"/>
        </w:rPr>
        <w:t>相关证明材料</w:t>
      </w:r>
      <w:bookmarkEnd w:id="78"/>
      <w:bookmarkEnd w:id="79"/>
    </w:p>
    <w:p w14:paraId="3AAAC7ED">
      <w:pPr>
        <w:pStyle w:val="40"/>
        <w:numPr>
          <w:ilvl w:val="0"/>
          <w:numId w:val="10"/>
        </w:numPr>
        <w:spacing w:before="120" w:after="120"/>
        <w:jc w:val="both"/>
        <w:outlineLvl w:val="9"/>
        <w:rPr>
          <w:rFonts w:hint="eastAsia"/>
          <w:sz w:val="24"/>
          <w:lang w:val="zh-CN"/>
        </w:rPr>
      </w:pPr>
      <w:bookmarkStart w:id="80" w:name="_Toc404"/>
      <w:bookmarkStart w:id="81" w:name="_Toc17127"/>
      <w:bookmarkStart w:id="82" w:name="_Toc23170"/>
      <w:bookmarkStart w:id="83" w:name="_Toc36562446"/>
      <w:r>
        <w:rPr>
          <w:rFonts w:hint="eastAsia"/>
          <w:sz w:val="24"/>
          <w:lang w:val="zh-CN"/>
        </w:rPr>
        <w:t>资格审查内容：</w:t>
      </w:r>
      <w:bookmarkEnd w:id="80"/>
    </w:p>
    <w:p w14:paraId="53B8B07A">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bookmarkStart w:id="84" w:name="_Toc25148"/>
      <w:r>
        <w:rPr>
          <w:rFonts w:hint="eastAsia" w:ascii="仿宋" w:hAnsi="仿宋" w:eastAsia="仿宋" w:cs="仿宋"/>
          <w:bCs/>
          <w:color w:val="auto"/>
          <w:kern w:val="0"/>
          <w:sz w:val="24"/>
          <w:highlight w:val="none"/>
          <w:lang w:val="zh-CN"/>
        </w:rPr>
        <w:t>供应商应当提供的资格证明材料及其他类似效力要求的相关证明材料：</w:t>
      </w:r>
      <w:r>
        <w:rPr>
          <w:rFonts w:hint="eastAsia" w:ascii="仿宋" w:hAnsi="仿宋" w:eastAsia="仿宋" w:cs="仿宋"/>
          <w:bCs/>
          <w:color w:val="auto"/>
          <w:kern w:val="0"/>
          <w:sz w:val="24"/>
          <w:highlight w:val="none"/>
        </w:rPr>
        <w:t>供应商应当提供的资格证明材料及其他类似效力要求的相关证明材料</w:t>
      </w:r>
      <w:bookmarkEnd w:id="84"/>
    </w:p>
    <w:p w14:paraId="0E274245">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（一）</w:t>
      </w:r>
      <w:r>
        <w:rPr>
          <w:rFonts w:hint="eastAsia" w:ascii="仿宋" w:hAnsi="仿宋" w:eastAsia="仿宋" w:cs="仿宋"/>
          <w:b/>
          <w:bCs w:val="0"/>
          <w:color w:val="auto"/>
          <w:kern w:val="0"/>
          <w:sz w:val="24"/>
          <w:highlight w:val="none"/>
        </w:rPr>
        <w:t>法定代表人/单位负责人授权书</w:t>
      </w:r>
      <w:r>
        <w:rPr>
          <w:rFonts w:hint="eastAsia" w:ascii="仿宋" w:hAnsi="仿宋" w:eastAsia="仿宋" w:cs="仿宋"/>
          <w:b/>
          <w:bCs w:val="0"/>
          <w:color w:val="auto"/>
          <w:kern w:val="0"/>
          <w:sz w:val="24"/>
          <w:highlight w:val="none"/>
          <w:lang w:eastAsia="zh-CN"/>
        </w:rPr>
        <w:t>原件</w:t>
      </w:r>
      <w:r>
        <w:rPr>
          <w:rFonts w:hint="eastAsia" w:ascii="仿宋" w:hAnsi="仿宋" w:eastAsia="仿宋" w:cs="仿宋"/>
          <w:bCs/>
          <w:color w:val="auto"/>
          <w:kern w:val="0"/>
          <w:sz w:val="24"/>
          <w:highlight w:val="none"/>
        </w:rPr>
        <w:t>；</w:t>
      </w:r>
    </w:p>
    <w:p w14:paraId="36E8F7B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注：①附法定代表人/单位负责人和被授权人身份证正反面复印件；②法定代表人/单位负责人亲自参与磋商时不需要提供。</w:t>
      </w:r>
    </w:p>
    <w:p w14:paraId="4289C716">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（二）</w:t>
      </w:r>
      <w:r>
        <w:rPr>
          <w:rFonts w:hint="eastAsia" w:ascii="仿宋" w:hAnsi="仿宋" w:eastAsia="仿宋" w:cs="仿宋"/>
          <w:b/>
          <w:bCs w:val="0"/>
          <w:color w:val="auto"/>
          <w:kern w:val="0"/>
          <w:sz w:val="24"/>
          <w:highlight w:val="none"/>
        </w:rPr>
        <w:t>法定代表人/单位负责人证明书；</w:t>
      </w:r>
    </w:p>
    <w:p w14:paraId="0647851D">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注：①附法定代表人/单位负责人身份证正反面复印件；②法定代表人/单位负责人亲自参加磋商时提供本证明书。</w:t>
      </w:r>
    </w:p>
    <w:p w14:paraId="38754587">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（三）</w:t>
      </w:r>
      <w:r>
        <w:rPr>
          <w:rFonts w:hint="eastAsia" w:ascii="仿宋" w:hAnsi="仿宋" w:eastAsia="仿宋" w:cs="仿宋"/>
          <w:b/>
          <w:bCs w:val="0"/>
          <w:color w:val="auto"/>
          <w:kern w:val="0"/>
          <w:sz w:val="24"/>
          <w:highlight w:val="none"/>
        </w:rPr>
        <w:t>供应商具有独立承担民事责任的能力的证明材料；</w:t>
      </w:r>
    </w:p>
    <w:p w14:paraId="1C99EBBC">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rPr>
        <w:t>提供营业执照副本复印件；税务登记证副本复印件</w:t>
      </w:r>
      <w:r>
        <w:rPr>
          <w:rFonts w:hint="eastAsia" w:ascii="仿宋" w:hAnsi="仿宋" w:eastAsia="仿宋" w:cs="仿宋"/>
          <w:bCs/>
          <w:color w:val="auto"/>
          <w:kern w:val="0"/>
          <w:sz w:val="24"/>
          <w:highlight w:val="none"/>
        </w:rPr>
        <w:t>。</w:t>
      </w:r>
    </w:p>
    <w:p w14:paraId="5337001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注：1.以上证明材料应满足此条要求①发证机关有年检要求的，应按规定通过年检；②在有效期内；③复印件加盖供应商公章；</w:t>
      </w:r>
    </w:p>
    <w:p w14:paraId="40C52C41">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2.企业若已更换为三证合一的则提供营业执照副本复印件，事业单位提供事业单位法人证书复印件，其他组织提供执业许可证或营业执照等证明文件复印件，自然人提供身份证明均具备此条同等效力；</w:t>
      </w:r>
    </w:p>
    <w:p w14:paraId="4736B39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3.根据国务院办公厅关于加快推进“多证合一”改革的指导意见(国办发〔2017〕41号)等政策要求，若资格要求涉及的登记、备案等有关事项和各类证照已实行多证合一的，提供多证合一证照副本复印件。</w:t>
      </w:r>
    </w:p>
    <w:p w14:paraId="4ED5F4CA">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（四）</w:t>
      </w:r>
      <w:r>
        <w:rPr>
          <w:rFonts w:hint="eastAsia" w:ascii="仿宋" w:hAnsi="仿宋" w:eastAsia="仿宋" w:cs="仿宋"/>
          <w:b/>
          <w:bCs w:val="0"/>
          <w:color w:val="auto"/>
          <w:kern w:val="0"/>
          <w:sz w:val="24"/>
          <w:highlight w:val="none"/>
        </w:rPr>
        <w:t>供应商具有良好的商业信誉和健全的财务会计制度的证明材料；</w:t>
      </w:r>
    </w:p>
    <w:p w14:paraId="58876C46">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val="en-US" w:eastAsia="zh-CN"/>
        </w:rPr>
        <w:t>1.</w:t>
      </w:r>
      <w:r>
        <w:rPr>
          <w:rFonts w:hint="eastAsia" w:ascii="仿宋" w:hAnsi="仿宋" w:eastAsia="仿宋" w:cs="仿宋"/>
          <w:b/>
          <w:bCs w:val="0"/>
          <w:color w:val="auto"/>
          <w:kern w:val="0"/>
          <w:sz w:val="24"/>
          <w:highlight w:val="none"/>
        </w:rPr>
        <w:t>供应商具有良好商业信誉的证明材料；</w:t>
      </w:r>
    </w:p>
    <w:p w14:paraId="4976E6B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提供具有良好的商业信誉的承诺函。</w:t>
      </w:r>
    </w:p>
    <w:p w14:paraId="2276A5C1">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注：格式自拟，或参照《符合&lt;中华人民共和国政府采购法&gt;第二十二条规定的条件的承诺及声明函》的格式提供承诺函。</w:t>
      </w:r>
    </w:p>
    <w:p w14:paraId="085FF85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r>
        <w:rPr>
          <w:rFonts w:hint="eastAsia" w:ascii="仿宋" w:hAnsi="仿宋" w:eastAsia="仿宋" w:cs="仿宋"/>
          <w:b/>
          <w:bCs w:val="0"/>
          <w:color w:val="auto"/>
          <w:kern w:val="0"/>
          <w:sz w:val="24"/>
          <w:highlight w:val="none"/>
        </w:rPr>
        <w:t>.供应商具有健全的财务会计制度的证明材料；</w:t>
      </w:r>
    </w:p>
    <w:p w14:paraId="720D3DAF">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(1)供应商提供上一年度经过会计师事务所审计的财务报告复印件(经审计的有效财务报告应包括报告及报告中所附的完整内容，并由注册会计师签名、盖章以及会计师事务所盖章)；</w:t>
      </w:r>
    </w:p>
    <w:p w14:paraId="59F859A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(2)供应商提供上一年度供应商内部的财务报表复印件(至少包含资产负债表)；</w:t>
      </w:r>
    </w:p>
    <w:p w14:paraId="443D1347">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(3)供应商提供响应文件递交截止日前一年内银行为其出具的资信证明复印件；</w:t>
      </w:r>
    </w:p>
    <w:p w14:paraId="4BE342E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(4)供应商注册时间截至响应文件递交截止日不足一年的，可提供公司章程复印件；</w:t>
      </w:r>
    </w:p>
    <w:p w14:paraId="1A7E643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(5)供应商可提供承诺函。</w:t>
      </w:r>
    </w:p>
    <w:p w14:paraId="1A37C2E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注：具有健全的财务会计制度的证明材料中第(1)-(5)项具有同等的效力，供应商可根据自身实际情况选择提供其中任意一项。</w:t>
      </w:r>
    </w:p>
    <w:p w14:paraId="6EA008AC">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（五）</w:t>
      </w:r>
      <w:r>
        <w:rPr>
          <w:rFonts w:hint="eastAsia" w:ascii="仿宋" w:hAnsi="仿宋" w:eastAsia="仿宋" w:cs="仿宋"/>
          <w:b/>
          <w:bCs w:val="0"/>
          <w:color w:val="auto"/>
          <w:kern w:val="0"/>
          <w:sz w:val="24"/>
          <w:highlight w:val="none"/>
        </w:rPr>
        <w:t>供应商具有依法缴纳税收和社会保障资金的良好记录的证明材料；</w:t>
      </w:r>
    </w:p>
    <w:p w14:paraId="02B4EA4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w:t>
      </w:r>
      <w:r>
        <w:rPr>
          <w:rFonts w:hint="eastAsia" w:ascii="仿宋" w:hAnsi="仿宋" w:eastAsia="仿宋" w:cs="仿宋"/>
          <w:bCs/>
          <w:color w:val="auto"/>
          <w:kern w:val="0"/>
          <w:sz w:val="24"/>
          <w:highlight w:val="none"/>
          <w:lang w:val="zh-CN"/>
        </w:rPr>
        <w:t>依法缴纳税收和社会保障资金的良好记录</w:t>
      </w:r>
      <w:r>
        <w:rPr>
          <w:rFonts w:hint="eastAsia" w:ascii="仿宋" w:hAnsi="仿宋" w:eastAsia="仿宋" w:cs="仿宋"/>
          <w:bCs/>
          <w:color w:val="auto"/>
          <w:kern w:val="0"/>
          <w:sz w:val="24"/>
          <w:highlight w:val="none"/>
        </w:rPr>
        <w:t>的承诺函。</w:t>
      </w:r>
    </w:p>
    <w:p w14:paraId="75007CCB">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注：格式自拟，或参照《符合&lt;中华人民共和国政府采购法&gt;第二十二条规定的条件的承诺及声明函》提供承诺函。</w:t>
      </w:r>
    </w:p>
    <w:p w14:paraId="585D11C3">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（六）</w:t>
      </w:r>
      <w:r>
        <w:rPr>
          <w:rFonts w:hint="eastAsia" w:ascii="仿宋" w:hAnsi="仿宋" w:eastAsia="仿宋" w:cs="仿宋"/>
          <w:b/>
          <w:bCs w:val="0"/>
          <w:color w:val="auto"/>
          <w:kern w:val="0"/>
          <w:sz w:val="24"/>
          <w:highlight w:val="none"/>
        </w:rPr>
        <w:t>供应商具有履行合同所必需的设备和专业技术能力证明材料；</w:t>
      </w:r>
    </w:p>
    <w:p w14:paraId="114764B7">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提供具有履行合同所必需的设备和专业技术能力的承诺函。</w:t>
      </w:r>
    </w:p>
    <w:p w14:paraId="074DC57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注：格式自拟，或参照《符合&lt;中华人民共和国政府采购法&gt;第二十二条规定的条件的承诺及声明函》提供承诺函。</w:t>
      </w:r>
    </w:p>
    <w:p w14:paraId="23892B66">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（七）</w:t>
      </w:r>
      <w:r>
        <w:rPr>
          <w:rFonts w:hint="eastAsia" w:ascii="仿宋" w:hAnsi="仿宋" w:eastAsia="仿宋" w:cs="仿宋"/>
          <w:b/>
          <w:bCs w:val="0"/>
          <w:color w:val="auto"/>
          <w:kern w:val="0"/>
          <w:sz w:val="24"/>
          <w:highlight w:val="none"/>
        </w:rPr>
        <w:t>供应商参加政府采购活动前三年内，在经营活动中没有重大违法记录的证明材料；</w:t>
      </w:r>
    </w:p>
    <w:p w14:paraId="52A549A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提供参加本次采购活动前三年内，在经营活动中没有重大违法记录的书面声明(成立不足三年的，从成立之日起计算)。</w:t>
      </w:r>
    </w:p>
    <w:p w14:paraId="42E0558F">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（八）</w:t>
      </w:r>
      <w:r>
        <w:rPr>
          <w:rFonts w:hint="eastAsia" w:ascii="仿宋" w:hAnsi="仿宋" w:eastAsia="仿宋" w:cs="仿宋"/>
          <w:b/>
          <w:bCs w:val="0"/>
          <w:color w:val="auto"/>
          <w:kern w:val="0"/>
          <w:sz w:val="24"/>
          <w:highlight w:val="none"/>
        </w:rPr>
        <w:t>供应商</w:t>
      </w:r>
      <w:r>
        <w:rPr>
          <w:rFonts w:hint="eastAsia" w:ascii="仿宋" w:hAnsi="仿宋" w:eastAsia="仿宋" w:cs="仿宋"/>
          <w:b/>
          <w:bCs w:val="0"/>
          <w:color w:val="auto"/>
          <w:kern w:val="0"/>
          <w:sz w:val="24"/>
          <w:highlight w:val="none"/>
          <w:lang w:val="zh-CN"/>
        </w:rPr>
        <w:t>及其现任法定代表人、主要负责人不得具有行贿犯罪记录</w:t>
      </w:r>
      <w:r>
        <w:rPr>
          <w:rFonts w:hint="eastAsia" w:ascii="仿宋" w:hAnsi="仿宋" w:eastAsia="仿宋" w:cs="仿宋"/>
          <w:b/>
          <w:bCs w:val="0"/>
          <w:color w:val="auto"/>
          <w:kern w:val="0"/>
          <w:sz w:val="24"/>
          <w:highlight w:val="none"/>
        </w:rPr>
        <w:t>的证明材料</w:t>
      </w:r>
      <w:r>
        <w:rPr>
          <w:rFonts w:hint="eastAsia" w:ascii="仿宋" w:hAnsi="仿宋" w:eastAsia="仿宋" w:cs="仿宋"/>
          <w:b/>
          <w:bCs w:val="0"/>
          <w:color w:val="auto"/>
          <w:kern w:val="0"/>
          <w:sz w:val="24"/>
          <w:highlight w:val="none"/>
          <w:lang w:val="zh-CN"/>
        </w:rPr>
        <w:t>；</w:t>
      </w:r>
    </w:p>
    <w:p w14:paraId="37D1879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1.在响应文件中作出供应商及其现任法定代表人(姓名和身份证号码)、主要负责人(姓名和身份证号码)10年内(</w:t>
      </w:r>
      <w:r>
        <w:rPr>
          <w:rFonts w:hint="eastAsia" w:ascii="仿宋" w:hAnsi="仿宋" w:eastAsia="仿宋" w:cs="仿宋"/>
          <w:bCs/>
          <w:color w:val="auto"/>
          <w:kern w:val="0"/>
          <w:sz w:val="24"/>
          <w:highlight w:val="none"/>
          <w:lang w:val="zh-CN"/>
        </w:rPr>
        <w:t>若</w:t>
      </w:r>
      <w:r>
        <w:rPr>
          <w:rFonts w:hint="eastAsia" w:ascii="仿宋" w:hAnsi="仿宋" w:eastAsia="仿宋" w:cs="仿宋"/>
          <w:bCs/>
          <w:color w:val="auto"/>
          <w:kern w:val="0"/>
          <w:sz w:val="24"/>
          <w:highlight w:val="none"/>
        </w:rPr>
        <w:t>供应商</w:t>
      </w:r>
      <w:r>
        <w:rPr>
          <w:rFonts w:hint="eastAsia" w:ascii="仿宋" w:hAnsi="仿宋" w:eastAsia="仿宋" w:cs="仿宋"/>
          <w:bCs/>
          <w:color w:val="auto"/>
          <w:kern w:val="0"/>
          <w:sz w:val="24"/>
          <w:highlight w:val="none"/>
          <w:lang w:val="zh-CN"/>
        </w:rPr>
        <w:t>成立不足10年的，</w:t>
      </w:r>
      <w:r>
        <w:rPr>
          <w:rFonts w:hint="eastAsia" w:ascii="仿宋" w:hAnsi="仿宋" w:eastAsia="仿宋" w:cs="仿宋"/>
          <w:bCs/>
          <w:color w:val="auto"/>
          <w:kern w:val="0"/>
          <w:sz w:val="24"/>
          <w:highlight w:val="none"/>
        </w:rPr>
        <w:t>承诺期限为</w:t>
      </w:r>
      <w:r>
        <w:rPr>
          <w:rFonts w:hint="eastAsia" w:ascii="仿宋" w:hAnsi="仿宋" w:eastAsia="仿宋" w:cs="仿宋"/>
          <w:bCs/>
          <w:color w:val="auto"/>
          <w:kern w:val="0"/>
          <w:sz w:val="24"/>
          <w:highlight w:val="none"/>
          <w:lang w:val="zh-CN"/>
        </w:rPr>
        <w:t>成立之日起</w:t>
      </w:r>
      <w:r>
        <w:rPr>
          <w:rFonts w:hint="eastAsia" w:ascii="仿宋" w:hAnsi="仿宋" w:eastAsia="仿宋" w:cs="仿宋"/>
          <w:bCs/>
          <w:color w:val="auto"/>
          <w:kern w:val="0"/>
          <w:sz w:val="24"/>
          <w:highlight w:val="none"/>
        </w:rPr>
        <w:t>至今)无行贿犯罪记录的承诺；</w:t>
      </w:r>
    </w:p>
    <w:p w14:paraId="58CF95EC">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rPr>
        <w:t>2.供应商未提供有效承诺函的，则需要在响应文件中书面载明其“现任法定代表人”(姓名和身份证号码)、“主要负责人”(姓名和身份证号码)信息，由采购人通过“中国裁判文书网”查询，并将查询记录存档，查询结果与承诺函具有同等效力</w:t>
      </w:r>
      <w:r>
        <w:rPr>
          <w:rFonts w:hint="eastAsia" w:ascii="仿宋" w:hAnsi="仿宋" w:eastAsia="仿宋" w:cs="仿宋"/>
          <w:bCs/>
          <w:color w:val="auto"/>
          <w:kern w:val="0"/>
          <w:sz w:val="24"/>
          <w:highlight w:val="none"/>
          <w:lang w:val="zh-CN"/>
        </w:rPr>
        <w:t>。</w:t>
      </w:r>
    </w:p>
    <w:p w14:paraId="5D913FF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供应商采用提供承诺函方式响应的，其内容必须符合上述第1款的要求，否则将视为无效承诺；②如供应商未提供有效承诺函，且未在响应文件中书面载明其“现任法定代表人”(姓名和身份证号码)、“主要负责人”(姓名和身份证号码)信息的，将被视为无效响应。</w:t>
      </w:r>
    </w:p>
    <w:p w14:paraId="182593BB">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（九）</w:t>
      </w:r>
      <w:r>
        <w:rPr>
          <w:rFonts w:hint="eastAsia" w:ascii="仿宋" w:hAnsi="仿宋" w:eastAsia="仿宋" w:cs="仿宋"/>
          <w:b/>
          <w:bCs w:val="0"/>
          <w:color w:val="auto"/>
          <w:kern w:val="0"/>
          <w:sz w:val="24"/>
          <w:highlight w:val="none"/>
        </w:rPr>
        <w:t>法律、</w:t>
      </w:r>
      <w:r>
        <w:rPr>
          <w:rFonts w:hint="eastAsia" w:ascii="仿宋" w:hAnsi="仿宋" w:eastAsia="仿宋" w:cs="仿宋"/>
          <w:b/>
          <w:bCs w:val="0"/>
          <w:color w:val="auto"/>
          <w:kern w:val="0"/>
          <w:sz w:val="24"/>
          <w:highlight w:val="none"/>
        </w:rPr>
        <w:fldChar w:fldCharType="begin"/>
      </w:r>
      <w:r>
        <w:rPr>
          <w:rFonts w:hint="eastAsia" w:ascii="仿宋" w:hAnsi="仿宋" w:eastAsia="仿宋" w:cs="仿宋"/>
          <w:b/>
          <w:bCs w:val="0"/>
          <w:color w:val="auto"/>
          <w:kern w:val="0"/>
          <w:sz w:val="24"/>
          <w:highlight w:val="none"/>
        </w:rPr>
        <w:instrText xml:space="preserve">HYPERLINK "http://www.lawtime.cn/info/sifakaoshi/xingzhengfa/" \t "_blank" </w:instrText>
      </w:r>
      <w:r>
        <w:rPr>
          <w:rFonts w:hint="eastAsia" w:ascii="仿宋" w:hAnsi="仿宋" w:eastAsia="仿宋" w:cs="仿宋"/>
          <w:b/>
          <w:bCs w:val="0"/>
          <w:color w:val="auto"/>
          <w:kern w:val="0"/>
          <w:sz w:val="24"/>
          <w:highlight w:val="none"/>
        </w:rPr>
        <w:fldChar w:fldCharType="separate"/>
      </w:r>
      <w:r>
        <w:rPr>
          <w:rFonts w:hint="eastAsia" w:ascii="仿宋" w:hAnsi="仿宋" w:eastAsia="仿宋" w:cs="仿宋"/>
          <w:b/>
          <w:bCs w:val="0"/>
          <w:color w:val="auto"/>
          <w:kern w:val="0"/>
          <w:sz w:val="24"/>
          <w:highlight w:val="none"/>
        </w:rPr>
        <w:t>行政法</w:t>
      </w:r>
      <w:r>
        <w:rPr>
          <w:rFonts w:hint="eastAsia" w:ascii="仿宋" w:hAnsi="仿宋" w:eastAsia="仿宋" w:cs="仿宋"/>
          <w:b/>
          <w:bCs w:val="0"/>
          <w:color w:val="auto"/>
          <w:kern w:val="0"/>
          <w:sz w:val="24"/>
          <w:highlight w:val="none"/>
        </w:rPr>
        <w:fldChar w:fldCharType="end"/>
      </w:r>
      <w:r>
        <w:rPr>
          <w:rFonts w:hint="eastAsia" w:ascii="仿宋" w:hAnsi="仿宋" w:eastAsia="仿宋" w:cs="仿宋"/>
          <w:b/>
          <w:bCs w:val="0"/>
          <w:color w:val="auto"/>
          <w:kern w:val="0"/>
          <w:sz w:val="24"/>
          <w:highlight w:val="none"/>
        </w:rPr>
        <w:t>规规定的其他条件的证明材料；</w:t>
      </w:r>
    </w:p>
    <w:p w14:paraId="7D3DC040">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注：可提供符合《中华人民共和国政府采购法》第二十二条规定的条件的承诺函及声明函。</w:t>
      </w:r>
    </w:p>
    <w:p w14:paraId="7D754368">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（十）</w:t>
      </w:r>
      <w:r>
        <w:rPr>
          <w:rFonts w:hint="eastAsia" w:ascii="仿宋" w:hAnsi="仿宋" w:eastAsia="仿宋" w:cs="仿宋"/>
          <w:b/>
          <w:bCs w:val="0"/>
          <w:color w:val="auto"/>
          <w:kern w:val="0"/>
          <w:sz w:val="24"/>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6A53E7AC">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人通过“信用中国”网站、“中国政府采购网”等渠道对供应商进行信用记录查询，并将查询记录存档。凡被列入失信被执行人、重大税收违法案件当事人名单、政府采购严重违法失信行为记录名单的，视为存在不良信用记录，参与本项目的将不通过资格审查而被拒；</w:t>
      </w:r>
    </w:p>
    <w:p w14:paraId="622192C0">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注：供应商参与磋商时无需对此条进行响应。</w:t>
      </w:r>
    </w:p>
    <w:p w14:paraId="73F33DE4">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lang w:val="zh-CN"/>
        </w:rPr>
      </w:pPr>
      <w:bookmarkStart w:id="85" w:name="_Toc21676"/>
      <w:r>
        <w:rPr>
          <w:rFonts w:hint="eastAsia" w:ascii="仿宋" w:hAnsi="仿宋" w:eastAsia="仿宋" w:cs="仿宋"/>
          <w:b/>
          <w:bCs w:val="0"/>
          <w:color w:val="auto"/>
          <w:kern w:val="0"/>
          <w:sz w:val="24"/>
          <w:highlight w:val="none"/>
          <w:lang w:val="zh-CN"/>
        </w:rPr>
        <w:t>二、其他实质性审查内容：</w:t>
      </w:r>
      <w:bookmarkEnd w:id="85"/>
    </w:p>
    <w:p w14:paraId="1027A7E6">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bookmarkStart w:id="86" w:name="_Toc25942"/>
      <w:r>
        <w:rPr>
          <w:rFonts w:hint="eastAsia" w:ascii="仿宋" w:hAnsi="仿宋" w:eastAsia="仿宋" w:cs="仿宋"/>
          <w:bCs/>
          <w:color w:val="auto"/>
          <w:kern w:val="0"/>
          <w:sz w:val="24"/>
          <w:highlight w:val="none"/>
          <w:lang w:val="zh-CN"/>
        </w:rPr>
        <w:t>供应商提供的服务不能负偏离采购需求中的实质性要求；不能附有采购人不能接受的条件。</w:t>
      </w:r>
      <w:bookmarkEnd w:id="86"/>
    </w:p>
    <w:p w14:paraId="7DFD232D">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bookmarkStart w:id="87" w:name="_Toc19418"/>
      <w:r>
        <w:rPr>
          <w:rFonts w:hint="eastAsia" w:ascii="仿宋" w:hAnsi="仿宋" w:eastAsia="仿宋" w:cs="仿宋"/>
          <w:bCs/>
          <w:color w:val="auto"/>
          <w:kern w:val="0"/>
          <w:sz w:val="24"/>
          <w:highlight w:val="none"/>
          <w:lang w:val="zh-CN"/>
        </w:rPr>
        <w:t>格式参照第三章响应文件格式第二部分其他响应文件(格式)，没有提供格式的承诺函可自拟。</w:t>
      </w:r>
      <w:bookmarkEnd w:id="87"/>
    </w:p>
    <w:p w14:paraId="3CB50C19">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（一）</w:t>
      </w:r>
      <w:r>
        <w:rPr>
          <w:rFonts w:hint="eastAsia" w:ascii="仿宋" w:hAnsi="仿宋" w:eastAsia="仿宋" w:cs="仿宋"/>
          <w:b/>
          <w:bCs w:val="0"/>
          <w:color w:val="auto"/>
          <w:kern w:val="0"/>
          <w:sz w:val="24"/>
          <w:highlight w:val="none"/>
        </w:rPr>
        <w:t>报价函</w:t>
      </w:r>
    </w:p>
    <w:p w14:paraId="112950B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注：投标报价是否符合磋商文件规定的最高限价和其他报价规定。</w:t>
      </w:r>
    </w:p>
    <w:p w14:paraId="69255887">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（二）</w:t>
      </w:r>
      <w:r>
        <w:rPr>
          <w:rFonts w:hint="eastAsia" w:ascii="仿宋" w:hAnsi="仿宋" w:eastAsia="仿宋" w:cs="仿宋"/>
          <w:b/>
          <w:bCs w:val="0"/>
          <w:color w:val="auto"/>
          <w:kern w:val="0"/>
          <w:sz w:val="24"/>
          <w:highlight w:val="none"/>
        </w:rPr>
        <w:t>磋商函</w:t>
      </w:r>
    </w:p>
    <w:p w14:paraId="3992D85A">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注：磋商函中的内容应据实填写完整、签署及盖章。</w:t>
      </w:r>
    </w:p>
    <w:p w14:paraId="66CA7AF8">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（三）</w:t>
      </w:r>
      <w:r>
        <w:rPr>
          <w:rFonts w:hint="eastAsia" w:ascii="仿宋" w:hAnsi="仿宋" w:eastAsia="仿宋" w:cs="仿宋"/>
          <w:b/>
          <w:bCs w:val="0"/>
          <w:color w:val="auto"/>
          <w:kern w:val="0"/>
          <w:sz w:val="24"/>
          <w:highlight w:val="none"/>
        </w:rPr>
        <w:t>承诺函</w:t>
      </w:r>
    </w:p>
    <w:p w14:paraId="1428533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注：承诺函中的内容应据实填写完整、签署及盖章。</w:t>
      </w:r>
    </w:p>
    <w:p w14:paraId="409B750C">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（四）</w:t>
      </w:r>
      <w:r>
        <w:rPr>
          <w:rFonts w:hint="eastAsia" w:ascii="仿宋" w:hAnsi="仿宋" w:eastAsia="仿宋" w:cs="仿宋"/>
          <w:b/>
          <w:bCs w:val="0"/>
          <w:color w:val="auto"/>
          <w:kern w:val="0"/>
          <w:sz w:val="24"/>
          <w:highlight w:val="none"/>
        </w:rPr>
        <w:t>供应商基本情况表</w:t>
      </w:r>
    </w:p>
    <w:p w14:paraId="43DB3CD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注：①供应商根据实际情况据实填写，若未填报完善不影响磋商资质及效力；②空白项用“/”填写。</w:t>
      </w:r>
    </w:p>
    <w:p w14:paraId="457E32E1">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（五）</w:t>
      </w:r>
      <w:r>
        <w:rPr>
          <w:rFonts w:hint="eastAsia" w:ascii="仿宋" w:hAnsi="仿宋" w:eastAsia="仿宋" w:cs="仿宋"/>
          <w:b/>
          <w:bCs w:val="0"/>
          <w:color w:val="auto"/>
          <w:kern w:val="0"/>
          <w:sz w:val="24"/>
          <w:highlight w:val="none"/>
        </w:rPr>
        <w:t>商务应答表</w:t>
      </w:r>
    </w:p>
    <w:p w14:paraId="10AE012B">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注：如无偏离，则无须在此表中应答，视为默认完全响应和接受竞争性磋商文件所有商务要求。</w:t>
      </w:r>
    </w:p>
    <w:p w14:paraId="0D945C28">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（六）</w:t>
      </w:r>
      <w:r>
        <w:rPr>
          <w:rFonts w:hint="eastAsia" w:ascii="仿宋" w:hAnsi="仿宋" w:eastAsia="仿宋" w:cs="仿宋"/>
          <w:b/>
          <w:bCs w:val="0"/>
          <w:color w:val="auto"/>
          <w:kern w:val="0"/>
          <w:sz w:val="24"/>
          <w:highlight w:val="none"/>
        </w:rPr>
        <w:t>服务及要求应答表</w:t>
      </w:r>
    </w:p>
    <w:p w14:paraId="466E2F8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注：如无偏离，则无须在此表中应答，视为默认完全响应和接受竞争性磋商文件所有要求。</w:t>
      </w:r>
    </w:p>
    <w:p w14:paraId="2EA7EE57">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（七）</w:t>
      </w:r>
      <w:r>
        <w:rPr>
          <w:rFonts w:hint="eastAsia" w:ascii="仿宋" w:hAnsi="仿宋" w:eastAsia="仿宋" w:cs="仿宋"/>
          <w:b/>
          <w:bCs w:val="0"/>
          <w:color w:val="auto"/>
          <w:kern w:val="0"/>
          <w:sz w:val="24"/>
          <w:highlight w:val="none"/>
        </w:rPr>
        <w:t>针对本项目的服务方案</w:t>
      </w:r>
    </w:p>
    <w:p w14:paraId="0997865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供应商应按照磋商文件中履约能力要求作出的积极响应和有利于采购人的承诺函；</w:t>
      </w:r>
    </w:p>
    <w:p w14:paraId="51D4AC16">
      <w:pPr>
        <w:pStyle w:val="23"/>
        <w:numPr>
          <w:ilvl w:val="0"/>
          <w:numId w:val="0"/>
        </w:numPr>
        <w:spacing w:line="440" w:lineRule="exact"/>
        <w:ind w:leftChars="0" w:firstLine="482" w:firstLineChars="200"/>
        <w:rPr>
          <w:rFonts w:hint="eastAsia" w:ascii="仿宋" w:hAnsi="仿宋" w:eastAsia="仿宋" w:cs="仿宋"/>
          <w:b/>
          <w:bCs w:val="0"/>
          <w:color w:val="auto"/>
          <w:kern w:val="0"/>
          <w:sz w:val="24"/>
          <w:szCs w:val="22"/>
          <w:highlight w:val="none"/>
          <w:lang w:val="en-US" w:eastAsia="zh-CN" w:bidi="ar-SA"/>
        </w:rPr>
      </w:pPr>
      <w:r>
        <w:rPr>
          <w:rFonts w:hint="eastAsia" w:ascii="仿宋" w:hAnsi="仿宋" w:eastAsia="仿宋" w:cs="仿宋"/>
          <w:b/>
          <w:bCs w:val="0"/>
          <w:color w:val="auto"/>
          <w:kern w:val="0"/>
          <w:sz w:val="24"/>
          <w:szCs w:val="22"/>
          <w:highlight w:val="none"/>
          <w:lang w:val="en-US" w:eastAsia="zh-CN" w:bidi="ar-SA"/>
        </w:rPr>
        <w:t>（八）供应商应按照磋商文件中履约能力要求作出的积极响应和有利于采购人的承诺函；</w:t>
      </w:r>
    </w:p>
    <w:p w14:paraId="10397FBF">
      <w:pPr>
        <w:pStyle w:val="23"/>
        <w:numPr>
          <w:ilvl w:val="0"/>
          <w:numId w:val="0"/>
        </w:numPr>
        <w:spacing w:line="440" w:lineRule="exact"/>
        <w:ind w:leftChars="0" w:firstLine="482" w:firstLineChars="200"/>
        <w:rPr>
          <w:rFonts w:hint="eastAsia" w:ascii="仿宋" w:hAnsi="仿宋" w:eastAsia="仿宋" w:cs="仿宋"/>
          <w:b/>
          <w:bCs w:val="0"/>
          <w:color w:val="auto"/>
          <w:kern w:val="0"/>
          <w:sz w:val="24"/>
          <w:szCs w:val="22"/>
          <w:highlight w:val="none"/>
          <w:lang w:val="en-US" w:eastAsia="zh-CN" w:bidi="ar-SA"/>
        </w:rPr>
      </w:pPr>
      <w:r>
        <w:rPr>
          <w:rFonts w:hint="eastAsia" w:ascii="仿宋" w:hAnsi="仿宋" w:eastAsia="仿宋" w:cs="仿宋"/>
          <w:b/>
          <w:bCs w:val="0"/>
          <w:color w:val="auto"/>
          <w:kern w:val="0"/>
          <w:sz w:val="24"/>
          <w:szCs w:val="22"/>
          <w:highlight w:val="none"/>
          <w:lang w:val="en-US" w:eastAsia="zh-CN" w:bidi="ar-SA"/>
        </w:rPr>
        <w:t>（九）磋商供应商认为需要提供的文件和资料；</w:t>
      </w:r>
    </w:p>
    <w:p w14:paraId="35D5582C">
      <w:pPr>
        <w:pStyle w:val="2"/>
        <w:pageBreakBefore/>
        <w:snapToGrid w:val="0"/>
        <w:spacing w:before="0" w:after="0" w:line="312" w:lineRule="auto"/>
        <w:jc w:val="center"/>
        <w:rPr>
          <w:rFonts w:hint="eastAsia" w:ascii="仿宋" w:hAnsi="仿宋" w:eastAsia="仿宋"/>
          <w:color w:val="auto"/>
          <w:sz w:val="28"/>
          <w:szCs w:val="24"/>
          <w:highlight w:val="none"/>
        </w:rPr>
      </w:pPr>
      <w:r>
        <w:rPr>
          <w:rFonts w:hint="eastAsia" w:ascii="仿宋" w:hAnsi="仿宋" w:eastAsia="仿宋" w:cs="仿宋"/>
          <w:color w:val="auto"/>
          <w:sz w:val="36"/>
          <w:szCs w:val="36"/>
          <w:highlight w:val="none"/>
        </w:rPr>
        <w:t>第五章  采购项目技术、服务、商务及其他要求</w:t>
      </w:r>
      <w:bookmarkEnd w:id="62"/>
      <w:bookmarkEnd w:id="63"/>
      <w:bookmarkEnd w:id="64"/>
      <w:bookmarkEnd w:id="65"/>
      <w:bookmarkEnd w:id="66"/>
      <w:bookmarkEnd w:id="81"/>
      <w:bookmarkEnd w:id="82"/>
      <w:bookmarkEnd w:id="83"/>
      <w:bookmarkStart w:id="88" w:name="_Hlk45530010"/>
      <w:bookmarkStart w:id="89" w:name="_Toc183582232"/>
      <w:bookmarkStart w:id="90" w:name="_Toc183682369"/>
      <w:bookmarkStart w:id="91" w:name="_Toc217446057"/>
    </w:p>
    <w:p w14:paraId="65714222">
      <w:pPr>
        <w:snapToGrid w:val="0"/>
        <w:spacing w:before="240" w:beforeLines="100" w:line="312" w:lineRule="auto"/>
        <w:ind w:firstLine="422" w:firstLineChars="175"/>
        <w:rPr>
          <w:rFonts w:hint="eastAsia" w:ascii="仿宋" w:hAnsi="仿宋" w:eastAsia="仿宋"/>
          <w:b/>
          <w:bCs/>
          <w:color w:val="auto"/>
          <w:sz w:val="28"/>
          <w:szCs w:val="24"/>
          <w:highlight w:val="none"/>
        </w:rPr>
      </w:pPr>
      <w:r>
        <w:rPr>
          <w:rFonts w:hint="eastAsia" w:ascii="仿宋" w:hAnsi="仿宋" w:eastAsia="仿宋" w:cs="仿宋"/>
          <w:b/>
          <w:bCs/>
          <w:color w:val="auto"/>
          <w:kern w:val="44"/>
          <w:sz w:val="24"/>
          <w:highlight w:val="none"/>
        </w:rPr>
        <w:t>注：本章中</w:t>
      </w:r>
      <w:r>
        <w:rPr>
          <w:rFonts w:hint="eastAsia" w:ascii="仿宋" w:hAnsi="仿宋" w:eastAsia="仿宋" w:cs="仿宋"/>
          <w:b/>
          <w:color w:val="auto"/>
          <w:sz w:val="24"/>
          <w:highlight w:val="none"/>
        </w:rPr>
        <w:t>带“★”项内容为本项目实质性要求，未响应或不满足，按无效响应处理。</w:t>
      </w:r>
    </w:p>
    <w:p w14:paraId="75BC0E29">
      <w:pPr>
        <w:adjustRightInd w:val="0"/>
        <w:snapToGrid w:val="0"/>
        <w:spacing w:before="240" w:beforeLines="100" w:line="312" w:lineRule="auto"/>
        <w:outlineLvl w:val="1"/>
        <w:rPr>
          <w:rFonts w:hint="eastAsia" w:ascii="仿宋" w:hAnsi="仿宋" w:eastAsia="仿宋"/>
          <w:color w:val="auto"/>
          <w:sz w:val="24"/>
          <w:highlight w:val="none"/>
        </w:rPr>
      </w:pPr>
      <w:r>
        <w:rPr>
          <w:rFonts w:hint="eastAsia" w:ascii="仿宋" w:hAnsi="仿宋" w:eastAsia="仿宋"/>
          <w:b/>
          <w:bCs/>
          <w:color w:val="auto"/>
          <w:sz w:val="28"/>
          <w:szCs w:val="24"/>
          <w:highlight w:val="none"/>
        </w:rPr>
        <w:t>一、项目概况</w:t>
      </w:r>
    </w:p>
    <w:p w14:paraId="37AE1792">
      <w:pPr>
        <w:snapToGrid w:val="0"/>
        <w:spacing w:line="312" w:lineRule="auto"/>
        <w:ind w:firstLine="562" w:firstLineChars="200"/>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（一）项目概述</w:t>
      </w:r>
    </w:p>
    <w:p w14:paraId="6951997D">
      <w:pPr>
        <w:pStyle w:val="41"/>
        <w:ind w:firstLine="480"/>
        <w:jc w:val="left"/>
        <w:rPr>
          <w:rFonts w:ascii="仿宋" w:hAnsi="仿宋" w:eastAsia="仿宋" w:cs="仿宋"/>
          <w:color w:val="auto"/>
          <w:szCs w:val="28"/>
          <w:highlight w:val="none"/>
        </w:rPr>
      </w:pPr>
      <w:r>
        <w:rPr>
          <w:rFonts w:ascii="仿宋" w:hAnsi="仿宋" w:eastAsia="仿宋" w:cs="仿宋"/>
          <w:color w:val="auto"/>
          <w:szCs w:val="28"/>
          <w:highlight w:val="none"/>
        </w:rPr>
        <w:t>汉源县中医医院拟选取</w:t>
      </w:r>
      <w:r>
        <w:rPr>
          <w:rFonts w:hint="eastAsia" w:ascii="仿宋" w:hAnsi="仿宋" w:eastAsia="仿宋" w:cs="仿宋"/>
          <w:color w:val="auto"/>
          <w:szCs w:val="28"/>
          <w:highlight w:val="none"/>
          <w:lang w:eastAsia="zh-CN"/>
        </w:rPr>
        <w:t>检验病理外送、远程会诊服务</w:t>
      </w:r>
      <w:r>
        <w:rPr>
          <w:rFonts w:ascii="仿宋" w:hAnsi="仿宋" w:eastAsia="仿宋" w:cs="仿宋"/>
          <w:color w:val="auto"/>
          <w:szCs w:val="28"/>
          <w:highlight w:val="none"/>
        </w:rPr>
        <w:t>供应商，为医院</w:t>
      </w:r>
      <w:r>
        <w:rPr>
          <w:rFonts w:hint="eastAsia" w:ascii="仿宋" w:hAnsi="仿宋" w:eastAsia="仿宋" w:cs="仿宋"/>
          <w:color w:val="auto"/>
          <w:szCs w:val="28"/>
          <w:highlight w:val="none"/>
          <w:lang w:eastAsia="zh-CN"/>
        </w:rPr>
        <w:t>提供病理外送检验、远程会诊服务</w:t>
      </w:r>
      <w:r>
        <w:rPr>
          <w:rFonts w:ascii="仿宋" w:hAnsi="仿宋" w:eastAsia="仿宋" w:cs="仿宋"/>
          <w:color w:val="auto"/>
          <w:szCs w:val="28"/>
          <w:highlight w:val="none"/>
        </w:rPr>
        <w:t>，本项目共</w:t>
      </w:r>
      <w:r>
        <w:rPr>
          <w:rFonts w:hint="eastAsia" w:ascii="仿宋" w:hAnsi="仿宋" w:eastAsia="仿宋" w:cs="仿宋"/>
          <w:color w:val="auto"/>
          <w:szCs w:val="28"/>
          <w:highlight w:val="none"/>
          <w:lang w:val="en-US" w:eastAsia="zh-CN"/>
        </w:rPr>
        <w:t>2</w:t>
      </w:r>
      <w:r>
        <w:rPr>
          <w:rFonts w:ascii="仿宋" w:hAnsi="仿宋" w:eastAsia="仿宋" w:cs="仿宋"/>
          <w:color w:val="auto"/>
          <w:szCs w:val="28"/>
          <w:highlight w:val="none"/>
        </w:rPr>
        <w:t>个包。</w:t>
      </w:r>
    </w:p>
    <w:p w14:paraId="1B2C1CBF">
      <w:pPr>
        <w:pStyle w:val="41"/>
        <w:ind w:firstLine="48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eastAsia="zh-CN"/>
        </w:rPr>
        <w:t>第</w:t>
      </w:r>
      <w:r>
        <w:rPr>
          <w:rFonts w:hint="eastAsia" w:ascii="仿宋" w:hAnsi="仿宋" w:eastAsia="仿宋" w:cs="仿宋"/>
          <w:color w:val="auto"/>
          <w:szCs w:val="28"/>
          <w:highlight w:val="none"/>
          <w:lang w:val="en-US" w:eastAsia="zh-CN"/>
        </w:rPr>
        <w:t>1包：</w:t>
      </w:r>
    </w:p>
    <w:p w14:paraId="75E8A5B6">
      <w:pPr>
        <w:pStyle w:val="41"/>
        <w:ind w:firstLine="480"/>
        <w:jc w:val="left"/>
        <w:rPr>
          <w:rFonts w:hint="default"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将采购人不能开展的检验病理标本委托进行检验；为采购人提供检验病理报告，并收取检验病理技术服务费。</w:t>
      </w:r>
    </w:p>
    <w:p w14:paraId="1B106BC9">
      <w:pPr>
        <w:pStyle w:val="41"/>
        <w:ind w:firstLine="48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eastAsia="zh-CN"/>
        </w:rPr>
        <w:t>第</w:t>
      </w:r>
      <w:r>
        <w:rPr>
          <w:rFonts w:hint="eastAsia" w:ascii="仿宋" w:hAnsi="仿宋" w:eastAsia="仿宋" w:cs="仿宋"/>
          <w:color w:val="auto"/>
          <w:szCs w:val="28"/>
          <w:highlight w:val="none"/>
          <w:lang w:val="en-US" w:eastAsia="zh-CN"/>
        </w:rPr>
        <w:t>2包：</w:t>
      </w:r>
    </w:p>
    <w:p w14:paraId="50884144">
      <w:pPr>
        <w:pStyle w:val="41"/>
        <w:ind w:firstLine="48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1.供应商提供后台技术支持协助甲方开设术中远程冰冻病理及远程会诊业务。</w:t>
      </w:r>
    </w:p>
    <w:p w14:paraId="2D53F3A8">
      <w:pPr>
        <w:pStyle w:val="41"/>
        <w:ind w:firstLine="48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2.业务范围:采购人院内开展远程病理、冰冻病理，由采购人负责取材制片后将不能出报告的切片扫描给供应商，由供应商阅片并发放报告。供应商协助对甲方招聘的病理医生和病理技师培训考核、病理信息平台建设，并协助医院完善病理科技术和质量管理体系。</w:t>
      </w:r>
    </w:p>
    <w:p w14:paraId="11D2907F">
      <w:pPr>
        <w:pStyle w:val="6"/>
        <w:snapToGrid w:val="0"/>
        <w:spacing w:line="312" w:lineRule="auto"/>
        <w:ind w:firstLine="562"/>
        <w:rPr>
          <w:rFonts w:hint="default" w:ascii="仿宋" w:hAnsi="仿宋" w:eastAsia="仿宋" w:cs="仿宋"/>
          <w:color w:val="auto"/>
          <w:szCs w:val="28"/>
          <w:highlight w:val="none"/>
          <w:lang w:val="en-US" w:eastAsia="zh-CN"/>
        </w:rPr>
      </w:pPr>
    </w:p>
    <w:p w14:paraId="08331C60">
      <w:pPr>
        <w:pStyle w:val="6"/>
        <w:snapToGrid w:val="0"/>
        <w:spacing w:line="312" w:lineRule="auto"/>
        <w:ind w:firstLine="56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（二）标的名称及所属行业</w:t>
      </w:r>
    </w:p>
    <w:tbl>
      <w:tblPr>
        <w:tblStyle w:val="20"/>
        <w:tblW w:w="6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2817"/>
        <w:gridCol w:w="2817"/>
      </w:tblGrid>
      <w:tr w14:paraId="1250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46" w:type="dxa"/>
            <w:noWrap w:val="0"/>
            <w:vAlign w:val="center"/>
          </w:tcPr>
          <w:p w14:paraId="078F6F2B">
            <w:pPr>
              <w:pStyle w:val="6"/>
              <w:snapToGrid w:val="0"/>
              <w:spacing w:line="312" w:lineRule="auto"/>
              <w:ind w:firstLine="0" w:firstLineChars="0"/>
              <w:jc w:val="center"/>
              <w:rPr>
                <w:rFonts w:hint="eastAsia" w:ascii="仿宋" w:hAnsi="仿宋" w:eastAsia="仿宋" w:cs="仿宋"/>
                <w:b/>
                <w:bCs/>
                <w:color w:val="auto"/>
                <w:kern w:val="2"/>
                <w:sz w:val="24"/>
                <w:highlight w:val="none"/>
                <w:lang w:val="en-US" w:eastAsia="zh-CN"/>
              </w:rPr>
            </w:pPr>
            <w:r>
              <w:rPr>
                <w:rFonts w:hint="eastAsia" w:ascii="仿宋" w:hAnsi="仿宋" w:eastAsia="仿宋" w:cs="仿宋"/>
                <w:b/>
                <w:bCs/>
                <w:color w:val="auto"/>
                <w:kern w:val="2"/>
                <w:sz w:val="24"/>
                <w:highlight w:val="none"/>
                <w:lang w:val="en-US" w:eastAsia="zh-CN"/>
              </w:rPr>
              <w:t>包号</w:t>
            </w:r>
          </w:p>
        </w:tc>
        <w:tc>
          <w:tcPr>
            <w:tcW w:w="2817" w:type="dxa"/>
            <w:noWrap w:val="0"/>
            <w:vAlign w:val="center"/>
          </w:tcPr>
          <w:p w14:paraId="31C595B2">
            <w:pPr>
              <w:pStyle w:val="6"/>
              <w:snapToGrid w:val="0"/>
              <w:spacing w:line="312" w:lineRule="auto"/>
              <w:ind w:firstLine="0" w:firstLineChars="0"/>
              <w:jc w:val="center"/>
              <w:rPr>
                <w:rFonts w:hint="eastAsia" w:ascii="仿宋" w:hAnsi="仿宋" w:eastAsia="仿宋" w:cs="仿宋"/>
                <w:b/>
                <w:bCs/>
                <w:color w:val="auto"/>
                <w:kern w:val="2"/>
                <w:sz w:val="24"/>
                <w:highlight w:val="none"/>
                <w:lang w:val="en-US" w:eastAsia="zh-CN"/>
              </w:rPr>
            </w:pPr>
            <w:r>
              <w:rPr>
                <w:rFonts w:hint="eastAsia" w:ascii="仿宋" w:hAnsi="仿宋" w:eastAsia="仿宋" w:cs="仿宋"/>
                <w:b/>
                <w:bCs/>
                <w:color w:val="auto"/>
                <w:kern w:val="2"/>
                <w:sz w:val="24"/>
                <w:highlight w:val="none"/>
                <w:lang w:val="en-US" w:eastAsia="zh-CN"/>
              </w:rPr>
              <w:t>标的名称</w:t>
            </w:r>
          </w:p>
        </w:tc>
        <w:tc>
          <w:tcPr>
            <w:tcW w:w="2817" w:type="dxa"/>
            <w:noWrap w:val="0"/>
            <w:vAlign w:val="center"/>
          </w:tcPr>
          <w:p w14:paraId="1A6E216F">
            <w:pPr>
              <w:pStyle w:val="6"/>
              <w:snapToGrid w:val="0"/>
              <w:spacing w:line="312" w:lineRule="auto"/>
              <w:ind w:firstLine="0" w:firstLineChars="0"/>
              <w:jc w:val="center"/>
              <w:rPr>
                <w:rFonts w:hint="eastAsia" w:ascii="仿宋" w:hAnsi="仿宋" w:eastAsia="仿宋" w:cs="仿宋"/>
                <w:b/>
                <w:bCs/>
                <w:color w:val="auto"/>
                <w:kern w:val="2"/>
                <w:sz w:val="24"/>
                <w:highlight w:val="none"/>
                <w:lang w:val="en-US" w:eastAsia="zh-CN"/>
              </w:rPr>
            </w:pPr>
            <w:r>
              <w:rPr>
                <w:rFonts w:hint="eastAsia" w:ascii="仿宋" w:hAnsi="仿宋" w:eastAsia="仿宋" w:cs="仿宋"/>
                <w:b/>
                <w:bCs/>
                <w:color w:val="auto"/>
                <w:kern w:val="2"/>
                <w:sz w:val="24"/>
                <w:highlight w:val="none"/>
                <w:lang w:val="en-US" w:eastAsia="zh-CN"/>
              </w:rPr>
              <w:t>所属行业</w:t>
            </w:r>
          </w:p>
        </w:tc>
      </w:tr>
      <w:tr w14:paraId="13F1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hRule="atLeast"/>
          <w:jc w:val="center"/>
        </w:trPr>
        <w:tc>
          <w:tcPr>
            <w:tcW w:w="1046" w:type="dxa"/>
            <w:noWrap w:val="0"/>
            <w:vAlign w:val="center"/>
          </w:tcPr>
          <w:p w14:paraId="08165B0A">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1</w:t>
            </w:r>
          </w:p>
        </w:tc>
        <w:tc>
          <w:tcPr>
            <w:tcW w:w="2817" w:type="dxa"/>
            <w:noWrap w:val="0"/>
            <w:vAlign w:val="center"/>
          </w:tcPr>
          <w:p w14:paraId="6C7F4346">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病理检验外送服务</w:t>
            </w:r>
          </w:p>
        </w:tc>
        <w:tc>
          <w:tcPr>
            <w:tcW w:w="2817" w:type="dxa"/>
            <w:noWrap w:val="0"/>
            <w:vAlign w:val="center"/>
          </w:tcPr>
          <w:p w14:paraId="7EC7F747">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服务业</w:t>
            </w:r>
          </w:p>
        </w:tc>
      </w:tr>
      <w:tr w14:paraId="4715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hRule="atLeast"/>
          <w:jc w:val="center"/>
        </w:trPr>
        <w:tc>
          <w:tcPr>
            <w:tcW w:w="1046" w:type="dxa"/>
            <w:noWrap w:val="0"/>
            <w:vAlign w:val="center"/>
          </w:tcPr>
          <w:p w14:paraId="5CCE27EC">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2</w:t>
            </w:r>
          </w:p>
        </w:tc>
        <w:tc>
          <w:tcPr>
            <w:tcW w:w="2817" w:type="dxa"/>
            <w:noWrap w:val="0"/>
            <w:vAlign w:val="center"/>
          </w:tcPr>
          <w:p w14:paraId="258C2E7C">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远程会诊服务</w:t>
            </w:r>
          </w:p>
        </w:tc>
        <w:tc>
          <w:tcPr>
            <w:tcW w:w="2817" w:type="dxa"/>
            <w:noWrap w:val="0"/>
            <w:vAlign w:val="center"/>
          </w:tcPr>
          <w:p w14:paraId="63065CA9">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服务业</w:t>
            </w:r>
          </w:p>
        </w:tc>
      </w:tr>
    </w:tbl>
    <w:p w14:paraId="3A66BF2A">
      <w:pPr>
        <w:numPr>
          <w:ilvl w:val="0"/>
          <w:numId w:val="10"/>
        </w:numPr>
        <w:adjustRightInd w:val="0"/>
        <w:snapToGrid w:val="0"/>
        <w:spacing w:before="240" w:beforeLines="100" w:line="312" w:lineRule="auto"/>
        <w:ind w:left="510" w:leftChars="0" w:hanging="510" w:firstLineChars="0"/>
        <w:outlineLvl w:val="1"/>
        <w:rPr>
          <w:rFonts w:hint="eastAsia" w:ascii="仿宋" w:hAnsi="仿宋" w:eastAsia="仿宋"/>
          <w:b/>
          <w:bCs/>
          <w:color w:val="auto"/>
          <w:sz w:val="28"/>
          <w:szCs w:val="24"/>
          <w:highlight w:val="none"/>
          <w:lang w:eastAsia="zh-CN"/>
        </w:rPr>
      </w:pPr>
      <w:r>
        <w:rPr>
          <w:rFonts w:hint="eastAsia" w:ascii="仿宋" w:hAnsi="仿宋" w:eastAsia="仿宋"/>
          <w:b/>
          <w:bCs/>
          <w:color w:val="auto"/>
          <w:sz w:val="28"/>
          <w:szCs w:val="24"/>
          <w:highlight w:val="none"/>
          <w:lang w:eastAsia="zh-CN"/>
        </w:rPr>
        <w:t>服务内容</w:t>
      </w:r>
    </w:p>
    <w:p w14:paraId="2074D9A2">
      <w:pPr>
        <w:numPr>
          <w:ilvl w:val="0"/>
          <w:numId w:val="0"/>
        </w:numPr>
        <w:adjustRightInd w:val="0"/>
        <w:snapToGrid w:val="0"/>
        <w:spacing w:before="240" w:beforeLines="100" w:line="312" w:lineRule="auto"/>
        <w:ind w:leftChars="0"/>
        <w:outlineLvl w:val="1"/>
        <w:rPr>
          <w:rFonts w:hint="eastAsia" w:ascii="仿宋" w:hAnsi="仿宋" w:eastAsia="仿宋"/>
          <w:b/>
          <w:bCs/>
          <w:color w:val="auto"/>
          <w:sz w:val="28"/>
          <w:szCs w:val="24"/>
          <w:highlight w:val="none"/>
          <w:lang w:eastAsia="zh-CN"/>
        </w:rPr>
      </w:pPr>
      <w:r>
        <w:rPr>
          <w:rFonts w:hint="eastAsia" w:ascii="仿宋" w:hAnsi="仿宋" w:eastAsia="仿宋"/>
          <w:b/>
          <w:bCs/>
          <w:color w:val="auto"/>
          <w:sz w:val="28"/>
          <w:szCs w:val="24"/>
          <w:highlight w:val="none"/>
        </w:rPr>
        <w:t>第1包：</w:t>
      </w:r>
      <w:r>
        <w:rPr>
          <w:rFonts w:hint="eastAsia" w:ascii="仿宋" w:hAnsi="仿宋" w:eastAsia="仿宋"/>
          <w:b/>
          <w:bCs/>
          <w:color w:val="auto"/>
          <w:sz w:val="28"/>
          <w:szCs w:val="24"/>
          <w:highlight w:val="none"/>
          <w:lang w:eastAsia="zh-CN"/>
        </w:rPr>
        <w:t>检验病理外送服务</w:t>
      </w:r>
    </w:p>
    <w:tbl>
      <w:tblPr>
        <w:tblStyle w:val="20"/>
        <w:tblW w:w="8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5"/>
        <w:gridCol w:w="4266"/>
        <w:gridCol w:w="2604"/>
      </w:tblGrid>
      <w:tr w14:paraId="7545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92C1A4B">
            <w:pPr>
              <w:keepNext w:val="0"/>
              <w:keepLines w:val="0"/>
              <w:widowControl/>
              <w:suppressLineNumbers w:val="0"/>
              <w:jc w:val="center"/>
              <w:textAlignment w:val="center"/>
              <w:rPr>
                <w:rFonts w:ascii="方正书宋简体" w:hAnsi="方正书宋简体" w:eastAsia="方正书宋简体" w:cs="方正书宋简体"/>
                <w:b/>
                <w:bCs/>
                <w:i w:val="0"/>
                <w:iCs w:val="0"/>
                <w:color w:val="000000"/>
                <w:sz w:val="18"/>
                <w:szCs w:val="18"/>
                <w:u w:val="none"/>
              </w:rPr>
            </w:pPr>
            <w:r>
              <w:rPr>
                <w:rFonts w:hint="default" w:ascii="方正书宋简体" w:hAnsi="方正书宋简体" w:eastAsia="方正书宋简体" w:cs="方正书宋简体"/>
                <w:b/>
                <w:bCs/>
                <w:i w:val="0"/>
                <w:iCs w:val="0"/>
                <w:color w:val="000000"/>
                <w:kern w:val="0"/>
                <w:sz w:val="18"/>
                <w:szCs w:val="18"/>
                <w:u w:val="none"/>
                <w:lang w:val="en-US" w:eastAsia="zh-CN" w:bidi="ar"/>
              </w:rPr>
              <w:t>项目编码</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3AD0B5A3">
            <w:pPr>
              <w:keepNext w:val="0"/>
              <w:keepLines w:val="0"/>
              <w:widowControl/>
              <w:suppressLineNumbers w:val="0"/>
              <w:jc w:val="both"/>
              <w:textAlignment w:val="center"/>
              <w:rPr>
                <w:rFonts w:hint="default" w:ascii="方正书宋简体" w:hAnsi="方正书宋简体" w:eastAsia="方正书宋简体" w:cs="方正书宋简体"/>
                <w:b/>
                <w:bCs/>
                <w:i w:val="0"/>
                <w:iCs w:val="0"/>
                <w:color w:val="000000"/>
                <w:sz w:val="18"/>
                <w:szCs w:val="18"/>
                <w:u w:val="none"/>
              </w:rPr>
            </w:pPr>
            <w:r>
              <w:rPr>
                <w:rFonts w:hint="default" w:ascii="方正书宋简体" w:hAnsi="方正书宋简体" w:eastAsia="方正书宋简体" w:cs="方正书宋简体"/>
                <w:b/>
                <w:bCs/>
                <w:i w:val="0"/>
                <w:iCs w:val="0"/>
                <w:color w:val="000000"/>
                <w:kern w:val="0"/>
                <w:sz w:val="18"/>
                <w:szCs w:val="18"/>
                <w:u w:val="none"/>
                <w:lang w:val="en-US" w:eastAsia="zh-CN" w:bidi="ar"/>
              </w:rPr>
              <w:t>项目名称</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2E20C7">
            <w:pPr>
              <w:keepNext w:val="0"/>
              <w:keepLines w:val="0"/>
              <w:widowControl/>
              <w:suppressLineNumbers w:val="0"/>
              <w:jc w:val="center"/>
              <w:textAlignment w:val="center"/>
              <w:rPr>
                <w:rFonts w:hint="default" w:ascii="方正书宋简体" w:hAnsi="方正书宋简体" w:eastAsia="方正书宋简体" w:cs="方正书宋简体"/>
                <w:b/>
                <w:bCs/>
                <w:i w:val="0"/>
                <w:iCs w:val="0"/>
                <w:color w:val="000000"/>
                <w:kern w:val="0"/>
                <w:sz w:val="18"/>
                <w:szCs w:val="18"/>
                <w:u w:val="none"/>
                <w:lang w:val="en-US" w:eastAsia="zh-CN" w:bidi="ar"/>
              </w:rPr>
            </w:pPr>
            <w:r>
              <w:rPr>
                <w:rFonts w:hint="eastAsia" w:ascii="方正书宋简体" w:hAnsi="方正书宋简体" w:eastAsia="方正书宋简体" w:cs="方正书宋简体"/>
                <w:b/>
                <w:bCs/>
                <w:i w:val="0"/>
                <w:iCs w:val="0"/>
                <w:color w:val="000000"/>
                <w:kern w:val="0"/>
                <w:sz w:val="18"/>
                <w:szCs w:val="18"/>
                <w:u w:val="none"/>
                <w:lang w:val="en-US" w:eastAsia="zh-CN" w:bidi="ar"/>
              </w:rPr>
              <w:t>最高限价</w:t>
            </w:r>
            <w:r>
              <w:rPr>
                <w:rFonts w:hint="default" w:ascii="方正书宋简体" w:hAnsi="方正书宋简体" w:eastAsia="方正书宋简体" w:cs="方正书宋简体"/>
                <w:b/>
                <w:bCs/>
                <w:i w:val="0"/>
                <w:iCs w:val="0"/>
                <w:color w:val="000000"/>
                <w:kern w:val="0"/>
                <w:sz w:val="18"/>
                <w:szCs w:val="18"/>
                <w:u w:val="none"/>
                <w:lang w:val="en-US" w:eastAsia="zh-CN" w:bidi="ar"/>
              </w:rPr>
              <w:t>（元）</w:t>
            </w:r>
          </w:p>
        </w:tc>
      </w:tr>
      <w:tr w14:paraId="345EA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DB2B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270200001</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372C192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体液细胞学检查与诊断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BCE0F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27.5</w:t>
            </w:r>
          </w:p>
        </w:tc>
      </w:tr>
      <w:tr w14:paraId="2704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1F8B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270200001-1</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6AA3A3E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体液细胞学检查与诊断（需塑料包埋的标本加收）</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425D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r>
      <w:tr w14:paraId="5160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F88C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270200004</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411056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脱落细胞学检查与诊断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C58D2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21.45</w:t>
            </w:r>
          </w:p>
        </w:tc>
      </w:tr>
      <w:tr w14:paraId="1E3A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7BFE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270200003</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7EE2C83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细针穿刺细胞学检查与诊断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F730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39.6</w:t>
            </w:r>
          </w:p>
        </w:tc>
      </w:tr>
      <w:tr w14:paraId="18A5E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4445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270500001</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2B666B8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特殊染色及酶组织化学染色诊断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0BDC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18.425</w:t>
            </w:r>
          </w:p>
        </w:tc>
      </w:tr>
      <w:tr w14:paraId="523F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7A100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270700003</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69DDCB3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脱氧核糖核酸（DNA）测序</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A9A49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188.1</w:t>
            </w:r>
          </w:p>
        </w:tc>
      </w:tr>
      <w:tr w14:paraId="375D9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DBCD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270800004</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026B4B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液基薄层细胞制片术</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F0EF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r>
      <w:tr w14:paraId="6D8D1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7E06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270500002</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467D7F9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免疫组织化学染色诊断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9ED26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35.75</w:t>
            </w:r>
          </w:p>
        </w:tc>
      </w:tr>
      <w:tr w14:paraId="493B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EFC7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250404017</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3FEF85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恶性肿瘤特异生长因子(TSGF)测定</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6884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24.75</w:t>
            </w:r>
          </w:p>
        </w:tc>
      </w:tr>
      <w:tr w14:paraId="6054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6881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250403065</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2A53D39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呼吸道198种病原体靶向测序</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2EFB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471.9</w:t>
            </w:r>
          </w:p>
        </w:tc>
      </w:tr>
    </w:tbl>
    <w:p w14:paraId="14E2F57A">
      <w:pPr>
        <w:numPr>
          <w:ilvl w:val="0"/>
          <w:numId w:val="0"/>
        </w:numPr>
        <w:adjustRightInd w:val="0"/>
        <w:snapToGrid w:val="0"/>
        <w:spacing w:before="240" w:beforeLines="100" w:line="312" w:lineRule="auto"/>
        <w:ind w:leftChars="0"/>
        <w:outlineLvl w:val="1"/>
        <w:rPr>
          <w:rFonts w:hint="eastAsia" w:ascii="仿宋" w:hAnsi="仿宋" w:eastAsia="仿宋"/>
          <w:b/>
          <w:bCs/>
          <w:color w:val="auto"/>
          <w:sz w:val="28"/>
          <w:szCs w:val="24"/>
          <w:highlight w:val="none"/>
          <w:lang w:eastAsia="zh-CN"/>
        </w:rPr>
      </w:pPr>
    </w:p>
    <w:p w14:paraId="5372555C">
      <w:pPr>
        <w:keepNext w:val="0"/>
        <w:keepLines w:val="0"/>
        <w:widowControl/>
        <w:suppressLineNumbers w:val="0"/>
        <w:jc w:val="both"/>
        <w:textAlignment w:val="center"/>
        <w:rPr>
          <w:rFonts w:hint="eastAsia" w:ascii="仿宋" w:hAnsi="仿宋" w:eastAsia="仿宋"/>
          <w:b/>
          <w:bCs/>
          <w:color w:val="auto"/>
          <w:sz w:val="28"/>
          <w:szCs w:val="24"/>
          <w:highlight w:val="none"/>
        </w:rPr>
      </w:pPr>
      <w:r>
        <w:rPr>
          <w:rFonts w:hint="eastAsia" w:ascii="宋体" w:hAnsi="宋体" w:eastAsia="宋体" w:cs="宋体"/>
          <w:i w:val="0"/>
          <w:iCs w:val="0"/>
          <w:color w:val="000000"/>
          <w:kern w:val="0"/>
          <w:sz w:val="18"/>
          <w:szCs w:val="18"/>
          <w:u w:val="none"/>
          <w:lang w:val="en-US" w:eastAsia="zh-CN" w:bidi="ar"/>
        </w:rPr>
        <w:t>备注：如遇特殊情况涉及清单外的送检项目，项目物价参照雅安市医疗服务价格标准</w:t>
      </w:r>
    </w:p>
    <w:p w14:paraId="010023DD">
      <w:pPr>
        <w:keepNext w:val="0"/>
        <w:keepLines w:val="0"/>
        <w:pageBreakBefore w:val="0"/>
        <w:widowControl w:val="0"/>
        <w:kinsoku/>
        <w:wordWrap/>
        <w:overflowPunct/>
        <w:topLinePunct w:val="0"/>
        <w:autoSpaceDE/>
        <w:autoSpaceDN/>
        <w:bidi w:val="0"/>
        <w:adjustRightInd w:val="0"/>
        <w:snapToGrid w:val="0"/>
        <w:spacing w:before="240" w:beforeLines="100" w:line="312" w:lineRule="auto"/>
        <w:textAlignment w:val="auto"/>
        <w:outlineLvl w:val="1"/>
        <w:rPr>
          <w:rFonts w:hint="eastAsia" w:ascii="仿宋" w:hAnsi="仿宋" w:eastAsia="仿宋"/>
          <w:b/>
          <w:bCs/>
          <w:color w:val="auto"/>
          <w:sz w:val="28"/>
          <w:szCs w:val="24"/>
          <w:highlight w:val="none"/>
          <w:lang w:eastAsia="zh-CN"/>
        </w:rPr>
      </w:pPr>
      <w:r>
        <w:rPr>
          <w:rFonts w:hint="eastAsia" w:ascii="仿宋" w:hAnsi="仿宋" w:eastAsia="仿宋"/>
          <w:b/>
          <w:bCs/>
          <w:color w:val="auto"/>
          <w:sz w:val="28"/>
          <w:szCs w:val="24"/>
          <w:highlight w:val="none"/>
        </w:rPr>
        <w:t>第2包：</w:t>
      </w:r>
      <w:r>
        <w:rPr>
          <w:rFonts w:hint="eastAsia" w:ascii="仿宋" w:hAnsi="仿宋" w:eastAsia="仿宋"/>
          <w:b/>
          <w:bCs/>
          <w:color w:val="auto"/>
          <w:sz w:val="28"/>
          <w:szCs w:val="24"/>
          <w:highlight w:val="none"/>
          <w:lang w:eastAsia="zh-CN"/>
        </w:rPr>
        <w:t>远程会诊服务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3556"/>
        <w:gridCol w:w="2536"/>
      </w:tblGrid>
      <w:tr w14:paraId="4ACF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2130" w:type="dxa"/>
            <w:noWrap w:val="0"/>
            <w:vAlign w:val="top"/>
          </w:tcPr>
          <w:p w14:paraId="0F4A2EF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3556" w:type="dxa"/>
            <w:noWrap w:val="0"/>
            <w:vAlign w:val="center"/>
          </w:tcPr>
          <w:p w14:paraId="5215BD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  目</w:t>
            </w:r>
          </w:p>
        </w:tc>
        <w:tc>
          <w:tcPr>
            <w:tcW w:w="2536" w:type="dxa"/>
            <w:noWrap w:val="0"/>
            <w:vAlign w:val="center"/>
          </w:tcPr>
          <w:p w14:paraId="6173B4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 高 限 价</w:t>
            </w:r>
          </w:p>
        </w:tc>
      </w:tr>
      <w:tr w14:paraId="551A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2130" w:type="dxa"/>
            <w:noWrap w:val="0"/>
            <w:vAlign w:val="top"/>
          </w:tcPr>
          <w:p w14:paraId="59F068D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556" w:type="dxa"/>
            <w:noWrap w:val="0"/>
            <w:vAlign w:val="center"/>
          </w:tcPr>
          <w:p w14:paraId="520E44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冰冻切片检查与诊断</w:t>
            </w:r>
          </w:p>
        </w:tc>
        <w:tc>
          <w:tcPr>
            <w:tcW w:w="2536" w:type="dxa"/>
            <w:noWrap w:val="0"/>
            <w:vAlign w:val="center"/>
          </w:tcPr>
          <w:p w14:paraId="063A2E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90元/例</w:t>
            </w:r>
          </w:p>
        </w:tc>
      </w:tr>
      <w:tr w14:paraId="6CC9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trPr>
        <w:tc>
          <w:tcPr>
            <w:tcW w:w="2130" w:type="dxa"/>
            <w:noWrap w:val="0"/>
            <w:vAlign w:val="top"/>
          </w:tcPr>
          <w:p w14:paraId="7F75A62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3556" w:type="dxa"/>
            <w:noWrap w:val="0"/>
            <w:vAlign w:val="center"/>
          </w:tcPr>
          <w:p w14:paraId="61E770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疑难病例会诊</w:t>
            </w:r>
          </w:p>
        </w:tc>
        <w:tc>
          <w:tcPr>
            <w:tcW w:w="2536" w:type="dxa"/>
            <w:noWrap w:val="0"/>
            <w:vAlign w:val="center"/>
          </w:tcPr>
          <w:p w14:paraId="2C1B24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70元/例</w:t>
            </w:r>
          </w:p>
        </w:tc>
      </w:tr>
      <w:tr w14:paraId="7C54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2130" w:type="dxa"/>
            <w:noWrap w:val="0"/>
            <w:vAlign w:val="top"/>
          </w:tcPr>
          <w:p w14:paraId="7E81EF0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3556" w:type="dxa"/>
            <w:noWrap w:val="0"/>
            <w:vAlign w:val="center"/>
          </w:tcPr>
          <w:p w14:paraId="065D96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远程病理诊断费</w:t>
            </w:r>
          </w:p>
        </w:tc>
        <w:tc>
          <w:tcPr>
            <w:tcW w:w="2536" w:type="dxa"/>
            <w:noWrap w:val="0"/>
            <w:vAlign w:val="center"/>
          </w:tcPr>
          <w:p w14:paraId="0BBC73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30元/例</w:t>
            </w:r>
          </w:p>
        </w:tc>
      </w:tr>
    </w:tbl>
    <w:p w14:paraId="42781102">
      <w:pPr>
        <w:pStyle w:val="19"/>
        <w:rPr>
          <w:rFonts w:hint="eastAsia"/>
          <w:lang w:eastAsia="zh-CN"/>
        </w:rPr>
      </w:pPr>
    </w:p>
    <w:p w14:paraId="39115CDD">
      <w:pPr>
        <w:numPr>
          <w:ilvl w:val="0"/>
          <w:numId w:val="10"/>
        </w:numPr>
        <w:adjustRightInd w:val="0"/>
        <w:snapToGrid w:val="0"/>
        <w:spacing w:before="240" w:beforeLines="100" w:line="312" w:lineRule="auto"/>
        <w:ind w:left="510" w:leftChars="0" w:hanging="510" w:firstLineChars="0"/>
        <w:outlineLvl w:val="1"/>
        <w:rPr>
          <w:rFonts w:hint="eastAsia" w:ascii="仿宋" w:hAnsi="仿宋" w:eastAsia="仿宋"/>
          <w:b/>
          <w:bCs/>
          <w:color w:val="auto"/>
          <w:sz w:val="28"/>
          <w:szCs w:val="24"/>
          <w:highlight w:val="none"/>
        </w:rPr>
      </w:pPr>
      <w:r>
        <w:rPr>
          <w:rFonts w:hint="eastAsia" w:ascii="仿宋" w:hAnsi="仿宋" w:eastAsia="仿宋"/>
          <w:b/>
          <w:bCs/>
          <w:color w:val="auto"/>
          <w:sz w:val="28"/>
          <w:szCs w:val="24"/>
          <w:highlight w:val="none"/>
        </w:rPr>
        <w:t>技术、服务要求</w:t>
      </w:r>
    </w:p>
    <w:p w14:paraId="33724A01">
      <w:pPr>
        <w:pStyle w:val="19"/>
        <w:numPr>
          <w:ilvl w:val="0"/>
          <w:numId w:val="0"/>
        </w:numPr>
        <w:ind w:leftChars="0"/>
        <w:rPr>
          <w:rFonts w:hint="default" w:ascii="仿宋" w:hAnsi="仿宋" w:eastAsia="仿宋" w:cs="Times New Roman"/>
          <w:b/>
          <w:bCs/>
          <w:color w:val="auto"/>
          <w:kern w:val="2"/>
          <w:sz w:val="28"/>
          <w:szCs w:val="24"/>
          <w:highlight w:val="none"/>
          <w:lang w:val="en-US" w:eastAsia="zh-CN" w:bidi="ar-SA"/>
        </w:rPr>
      </w:pPr>
      <w:r>
        <w:rPr>
          <w:rFonts w:hint="eastAsia" w:ascii="仿宋" w:hAnsi="仿宋" w:eastAsia="仿宋" w:cs="Times New Roman"/>
          <w:b/>
          <w:bCs/>
          <w:color w:val="auto"/>
          <w:kern w:val="2"/>
          <w:sz w:val="28"/>
          <w:szCs w:val="24"/>
          <w:highlight w:val="none"/>
          <w:lang w:val="en-US" w:eastAsia="zh-CN" w:bidi="ar-SA"/>
        </w:rPr>
        <w:t>包1：检验病理外送服务</w:t>
      </w:r>
    </w:p>
    <w:p w14:paraId="0671B193">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★（一）服务内容及标准</w:t>
      </w:r>
    </w:p>
    <w:p w14:paraId="55744CA4">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1.供应商应具备开展委托检验项目的能力，具有相应的质量标准和控制材料。检测结果符合国家相关标准和规范。</w:t>
      </w:r>
      <w:r>
        <w:rPr>
          <w:rFonts w:hint="eastAsia" w:ascii="仿宋" w:hAnsi="仿宋" w:eastAsia="仿宋" w:cs="仿宋"/>
          <w:b/>
          <w:bCs w:val="0"/>
          <w:color w:val="auto"/>
          <w:sz w:val="24"/>
          <w:szCs w:val="24"/>
          <w:highlight w:val="none"/>
          <w:lang w:val="en-US" w:eastAsia="zh-CN"/>
        </w:rPr>
        <w:t>（提供相关证明材料并加盖供应商公章）</w:t>
      </w:r>
    </w:p>
    <w:p w14:paraId="78C21AAA">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2.供应商负责提供病理检验项目所需医疗耗材，且保证耗材的有效使用期在6个月以上。</w:t>
      </w:r>
    </w:p>
    <w:p w14:paraId="4690A86D">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2.供应商每周6次到采购人收取标本，上门服务时间为每日12:00以前。</w:t>
      </w:r>
    </w:p>
    <w:p w14:paraId="76AE1926">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3.供应商按照规定时间内出具相关检验病理报告单。</w:t>
      </w:r>
    </w:p>
    <w:p w14:paraId="5C480DD1">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4.供应商保证按国家检验、病理规范进行操作，并对标本的检验报告依法承担相应的责任。非因供应商原因导致的检验报告错误，供应商不承担责任。</w:t>
      </w:r>
    </w:p>
    <w:p w14:paraId="4A5110AB">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供应商有为采购人保密的义务，在未经采购人同意或授权前提下，供应商不得向采购人及工作人员以外的任何单位或个人泄露甲方委托检验的项目、检验的内容、检验的结果，但受检者及其授权代理人查询、咨询、复印其检验项目、检验结果等事宜除外。</w:t>
      </w:r>
    </w:p>
    <w:p w14:paraId="30E545F6">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6.供应商须配备完善的医疗冷链物流系统和信息服务系统，确保接收、送检标本运输过程的安全，保证标本的质量。</w:t>
      </w:r>
    </w:p>
    <w:p w14:paraId="654D92C8">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7.若涉及高致病性病原微生物菌（毒）种或样本，应当按照《高致病性病原微生物菌（毒）种或样本运输》办理《准运证书》，并承接相应的应急检测。（提供承诺函）</w:t>
      </w:r>
    </w:p>
    <w:p w14:paraId="151C4B2C">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（二）服务要求</w:t>
      </w:r>
    </w:p>
    <w:p w14:paraId="788BA78A">
      <w:pPr>
        <w:spacing w:line="312"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1、供应商提供</w:t>
      </w:r>
      <w:r>
        <w:rPr>
          <w:rFonts w:hint="eastAsia" w:ascii="仿宋" w:hAnsi="仿宋" w:eastAsia="仿宋" w:cs="仿宋"/>
          <w:bCs/>
          <w:color w:val="auto"/>
          <w:sz w:val="24"/>
          <w:szCs w:val="24"/>
          <w:highlight w:val="none"/>
          <w:lang w:eastAsia="zh-CN"/>
        </w:rPr>
        <w:t>检验病理外送服务</w:t>
      </w:r>
      <w:r>
        <w:rPr>
          <w:rFonts w:hint="eastAsia" w:ascii="仿宋" w:hAnsi="仿宋" w:eastAsia="仿宋" w:cs="仿宋"/>
          <w:bCs/>
          <w:color w:val="auto"/>
          <w:sz w:val="24"/>
          <w:szCs w:val="24"/>
          <w:highlight w:val="none"/>
        </w:rPr>
        <w:t>方案，内容包括：（1）</w:t>
      </w:r>
      <w:r>
        <w:rPr>
          <w:rFonts w:hint="eastAsia" w:ascii="仿宋" w:hAnsi="仿宋" w:eastAsia="仿宋" w:cs="仿宋"/>
          <w:bCs/>
          <w:color w:val="auto"/>
          <w:sz w:val="24"/>
          <w:szCs w:val="24"/>
          <w:highlight w:val="none"/>
          <w:lang w:eastAsia="zh-CN"/>
        </w:rPr>
        <w:t>标本采集、运输、保存方案</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）标本检测服务方案；（（</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）检测结果异常时的复检方案；（</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）数据安全与保护隐私措施方案；（</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）应急预案。</w:t>
      </w:r>
    </w:p>
    <w:p w14:paraId="015CB0AC">
      <w:pPr>
        <w:spacing w:line="312" w:lineRule="auto"/>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2、供应商提供</w:t>
      </w:r>
      <w:r>
        <w:rPr>
          <w:rFonts w:hint="eastAsia" w:ascii="仿宋" w:hAnsi="仿宋" w:eastAsia="仿宋" w:cs="仿宋"/>
          <w:bCs/>
          <w:color w:val="auto"/>
          <w:sz w:val="24"/>
          <w:szCs w:val="24"/>
          <w:highlight w:val="none"/>
          <w:lang w:eastAsia="zh-CN"/>
        </w:rPr>
        <w:t>标本</w:t>
      </w:r>
      <w:r>
        <w:rPr>
          <w:rFonts w:hint="eastAsia" w:ascii="仿宋" w:hAnsi="仿宋" w:eastAsia="仿宋" w:cs="仿宋"/>
          <w:bCs/>
          <w:color w:val="auto"/>
          <w:sz w:val="24"/>
          <w:szCs w:val="24"/>
          <w:highlight w:val="none"/>
        </w:rPr>
        <w:t>配送方案，内容</w:t>
      </w:r>
      <w:r>
        <w:rPr>
          <w:rFonts w:hint="eastAsia" w:ascii="仿宋" w:hAnsi="仿宋" w:eastAsia="仿宋" w:cs="仿宋"/>
          <w:bCs/>
          <w:color w:val="auto"/>
          <w:sz w:val="24"/>
          <w:szCs w:val="24"/>
          <w:highlight w:val="none"/>
          <w:lang w:eastAsia="zh-CN"/>
        </w:rPr>
        <w:t>包括：（</w:t>
      </w:r>
      <w:r>
        <w:rPr>
          <w:rFonts w:hint="eastAsia" w:ascii="仿宋" w:hAnsi="仿宋" w:eastAsia="仿宋" w:cs="仿宋"/>
          <w:bCs/>
          <w:color w:val="auto"/>
          <w:sz w:val="24"/>
          <w:szCs w:val="24"/>
          <w:highlight w:val="none"/>
          <w:lang w:val="en-US" w:eastAsia="zh-CN"/>
        </w:rPr>
        <w:t>1）配送人员资质及培训；（2）标本交接流程及记录；（3）异常情况处理措施；（4）配送过程中的温控保障措施。</w:t>
      </w:r>
    </w:p>
    <w:p w14:paraId="2EB1B540">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3、供应商提供</w:t>
      </w:r>
      <w:r>
        <w:rPr>
          <w:rFonts w:hint="eastAsia" w:ascii="仿宋" w:hAnsi="仿宋" w:eastAsia="仿宋" w:cs="仿宋"/>
          <w:bCs/>
          <w:color w:val="auto"/>
          <w:sz w:val="24"/>
          <w:szCs w:val="24"/>
          <w:highlight w:val="none"/>
          <w:lang w:eastAsia="zh-CN"/>
        </w:rPr>
        <w:t>技术</w:t>
      </w:r>
      <w:r>
        <w:rPr>
          <w:rFonts w:hint="eastAsia" w:ascii="仿宋" w:hAnsi="仿宋" w:eastAsia="仿宋" w:cs="仿宋"/>
          <w:bCs/>
          <w:color w:val="auto"/>
          <w:sz w:val="24"/>
          <w:szCs w:val="24"/>
          <w:highlight w:val="none"/>
        </w:rPr>
        <w:t>服务方案，内容包括：</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）拟投入的设备设施；</w:t>
      </w:r>
      <w:r>
        <w:rPr>
          <w:rFonts w:hint="eastAsia" w:ascii="仿宋" w:hAnsi="仿宋" w:eastAsia="仿宋" w:cs="仿宋"/>
          <w:bCs/>
          <w:color w:val="auto"/>
          <w:sz w:val="24"/>
          <w:szCs w:val="24"/>
          <w:highlight w:val="none"/>
          <w:lang w:val="en-US" w:eastAsia="zh-CN"/>
        </w:rPr>
        <w:t>2）技术人员配备及培训计划；（3）质量管理体系认证情况；（4）过往服务案例及客户评价。</w:t>
      </w:r>
    </w:p>
    <w:p w14:paraId="0ADF0355">
      <w:pPr>
        <w:pStyle w:val="19"/>
        <w:ind w:left="0" w:leftChars="0" w:firstLine="480" w:firstLineChars="200"/>
        <w:rPr>
          <w:rFonts w:hint="default"/>
          <w:lang w:val="en-US" w:eastAsia="zh-CN"/>
        </w:rPr>
      </w:pPr>
      <w:r>
        <w:rPr>
          <w:rFonts w:hint="eastAsia" w:ascii="仿宋" w:hAnsi="仿宋" w:eastAsia="仿宋" w:cs="仿宋"/>
          <w:color w:val="auto"/>
          <w:sz w:val="24"/>
          <w:szCs w:val="24"/>
          <w:highlight w:val="none"/>
          <w:lang w:val="en-US" w:eastAsia="zh-CN"/>
        </w:rPr>
        <w:t>4.供应商应制定实验室质量控制措施，内容包括：（1）室间质评；（2）室内质控；（3）质量管理制度；（4）室内质控记录等</w:t>
      </w:r>
    </w:p>
    <w:p w14:paraId="09490211">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Cs/>
          <w:color w:val="auto"/>
          <w:sz w:val="24"/>
          <w:szCs w:val="24"/>
          <w:highlight w:val="none"/>
        </w:rPr>
        <w:t>★</w:t>
      </w:r>
      <w:r>
        <w:rPr>
          <w:rFonts w:hint="eastAsia" w:ascii="仿宋" w:hAnsi="仿宋" w:eastAsia="仿宋" w:cs="仿宋"/>
          <w:b/>
          <w:color w:val="auto"/>
          <w:sz w:val="28"/>
          <w:szCs w:val="28"/>
          <w:highlight w:val="none"/>
        </w:rPr>
        <w:t>（三）商务要求</w:t>
      </w:r>
    </w:p>
    <w:p w14:paraId="7D1C83E9">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1、服务期限：</w:t>
      </w: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年度合同到期，经采购人考核合格后续签下一年合同</w:t>
      </w:r>
      <w:r>
        <w:rPr>
          <w:rFonts w:hint="eastAsia" w:ascii="仿宋" w:hAnsi="仿宋" w:eastAsia="仿宋" w:cs="仿宋"/>
          <w:bCs/>
          <w:color w:val="auto"/>
          <w:sz w:val="24"/>
          <w:szCs w:val="24"/>
          <w:highlight w:val="none"/>
        </w:rPr>
        <w:t>。</w:t>
      </w:r>
    </w:p>
    <w:p w14:paraId="05F9E495">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2、服务地点:</w:t>
      </w:r>
      <w:r>
        <w:rPr>
          <w:rFonts w:hint="eastAsia" w:ascii="仿宋" w:hAnsi="仿宋" w:eastAsia="仿宋" w:cs="仿宋"/>
          <w:bCs/>
          <w:color w:val="auto"/>
          <w:sz w:val="24"/>
          <w:szCs w:val="24"/>
          <w:highlight w:val="none"/>
          <w:lang w:eastAsia="zh-CN"/>
        </w:rPr>
        <w:t>汉源县</w:t>
      </w:r>
      <w:r>
        <w:rPr>
          <w:rFonts w:hint="eastAsia" w:ascii="仿宋" w:hAnsi="仿宋" w:eastAsia="仿宋" w:cs="仿宋"/>
          <w:bCs/>
          <w:color w:val="auto"/>
          <w:sz w:val="24"/>
          <w:szCs w:val="24"/>
          <w:highlight w:val="none"/>
        </w:rPr>
        <w:t>中医医院。</w:t>
      </w:r>
    </w:p>
    <w:p w14:paraId="7823425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3、付款方式：</w:t>
      </w:r>
    </w:p>
    <w:p w14:paraId="3503B0F7">
      <w:pPr>
        <w:pStyle w:val="41"/>
        <w:ind w:firstLine="48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据实结算，合同签订后，每半年结算一次，由供应商提供结算材料及发票作为付款依据。</w:t>
      </w:r>
    </w:p>
    <w:p w14:paraId="5C50D3A0">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4、保险</w:t>
      </w:r>
    </w:p>
    <w:p w14:paraId="7EA2C4A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供应商在项目服务实施过程中的一切安全问题由供应商自行负责，与采购人无关。</w:t>
      </w:r>
    </w:p>
    <w:p w14:paraId="04A6D42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为本项目提供履约的所有人员应依照《中华人民共和国劳动合同法》订立劳动合同，如有退休人员或其他依法不能签订劳动合同的人员应签订劳务合同，并为上述人员购买意外保险，涉及第三者责任的还应当为其购买第三者责任险。</w:t>
      </w:r>
    </w:p>
    <w:p w14:paraId="43F8B5D5">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知识产权及保密：供应商应保证所提供的服务或其任何一部分均不会侵犯任何第三方的专利权、商标权或著作权。采购人享有本项目实施过程中产生的知识成果及知识产权。双方互相对尚未公开的业务、技术、财务等商业秘密和接触到的文件、资料或软件等负有保密义务。</w:t>
      </w:r>
    </w:p>
    <w:p w14:paraId="67BDED21">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6、违约责任与解决争议的办法</w:t>
      </w:r>
    </w:p>
    <w:p w14:paraId="5D38AF5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6.1</w:t>
      </w:r>
      <w:r>
        <w:rPr>
          <w:rFonts w:hint="eastAsia" w:ascii="仿宋" w:hAnsi="仿宋" w:eastAsia="仿宋" w:cs="仿宋"/>
          <w:bCs/>
          <w:color w:val="auto"/>
          <w:sz w:val="24"/>
          <w:szCs w:val="24"/>
          <w:highlight w:val="none"/>
        </w:rPr>
        <w:t>违约责任</w:t>
      </w:r>
    </w:p>
    <w:p w14:paraId="50516C23">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1）双方必须遵守采购合同并执行采购合同中的各项规定，保证采购合同的正常履行。</w:t>
      </w:r>
    </w:p>
    <w:p w14:paraId="134063F9">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14:paraId="44868C4A">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6.2</w:t>
      </w:r>
      <w:r>
        <w:rPr>
          <w:rFonts w:hint="eastAsia" w:ascii="仿宋" w:hAnsi="仿宋" w:eastAsia="仿宋" w:cs="仿宋"/>
          <w:bCs/>
          <w:color w:val="auto"/>
          <w:sz w:val="24"/>
          <w:szCs w:val="24"/>
          <w:highlight w:val="none"/>
        </w:rPr>
        <w:t>解决争议的办法</w:t>
      </w:r>
    </w:p>
    <w:p w14:paraId="46A75F2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合同履行期间,若双方发生争议，可协商或由有关部门调解解决，协商或调解不成的，由当事人依法向</w:t>
      </w:r>
      <w:r>
        <w:rPr>
          <w:rFonts w:hint="eastAsia" w:ascii="仿宋" w:hAnsi="仿宋" w:eastAsia="仿宋" w:cs="仿宋"/>
          <w:bCs/>
          <w:color w:val="auto"/>
          <w:sz w:val="24"/>
          <w:szCs w:val="24"/>
          <w:highlight w:val="none"/>
          <w:lang w:eastAsia="zh-CN"/>
        </w:rPr>
        <w:t>汉源县人民</w:t>
      </w:r>
      <w:r>
        <w:rPr>
          <w:rFonts w:hint="eastAsia" w:ascii="仿宋" w:hAnsi="仿宋" w:eastAsia="仿宋" w:cs="仿宋"/>
          <w:bCs/>
          <w:color w:val="auto"/>
          <w:sz w:val="24"/>
          <w:szCs w:val="24"/>
          <w:highlight w:val="none"/>
        </w:rPr>
        <w:t>法院提起诉讼维护其合法权益。</w:t>
      </w:r>
    </w:p>
    <w:p w14:paraId="6A6574D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7、其他要求</w:t>
      </w:r>
    </w:p>
    <w:p w14:paraId="1F6D3B73">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（1）供应商应建立良好的项目实施质量管理、职业健康安全管理、信息技术服务管理、信息安全管理以及环境管理体系，保障项目实施质量以及相关人员健康安全和实施环境安全。</w:t>
      </w:r>
    </w:p>
    <w:p w14:paraId="1B889C87">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应为本项目配备项目实施相关人员，采购人在项目执行过程中定期核对供应商提供完成项目所配备的人员数量及相关信息，对于未按照磋商文件及响应文件相关内容执行或存在不合理的部分有权下达整改通知书，并要求供应商限期整改，并根据合同约定的违约情况进行处理。</w:t>
      </w:r>
    </w:p>
    <w:p w14:paraId="34B0B26C">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（3）供应商在项目执行过程中定期及时向采购人通告本项目供货的重大事项及其进度。</w:t>
      </w:r>
    </w:p>
    <w:p w14:paraId="509E7BB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（4）接受项目行业管理部门及政府有关部门的指导，接受采购人的监督。</w:t>
      </w:r>
    </w:p>
    <w:p w14:paraId="353EAEE4">
      <w:pPr>
        <w:pStyle w:val="7"/>
        <w:rPr>
          <w:rFonts w:hint="eastAsia"/>
          <w:color w:val="auto"/>
          <w:highlight w:val="none"/>
        </w:rPr>
      </w:pPr>
    </w:p>
    <w:p w14:paraId="6416967E">
      <w:pPr>
        <w:pStyle w:val="19"/>
        <w:numPr>
          <w:ilvl w:val="0"/>
          <w:numId w:val="0"/>
        </w:numPr>
        <w:ind w:leftChars="0"/>
        <w:rPr>
          <w:rFonts w:hint="default" w:ascii="仿宋" w:hAnsi="仿宋" w:eastAsia="仿宋" w:cs="Times New Roman"/>
          <w:b/>
          <w:bCs/>
          <w:color w:val="auto"/>
          <w:kern w:val="2"/>
          <w:sz w:val="28"/>
          <w:szCs w:val="24"/>
          <w:highlight w:val="none"/>
          <w:lang w:val="en-US" w:eastAsia="zh-CN" w:bidi="ar-SA"/>
        </w:rPr>
      </w:pPr>
      <w:r>
        <w:rPr>
          <w:rFonts w:hint="eastAsia" w:ascii="仿宋" w:hAnsi="仿宋" w:eastAsia="仿宋" w:cs="Times New Roman"/>
          <w:b/>
          <w:bCs/>
          <w:color w:val="auto"/>
          <w:kern w:val="2"/>
          <w:sz w:val="28"/>
          <w:szCs w:val="24"/>
          <w:highlight w:val="none"/>
          <w:lang w:val="en-US" w:eastAsia="zh-CN" w:bidi="ar-SA"/>
        </w:rPr>
        <w:t>包2：远程会诊服务</w:t>
      </w:r>
    </w:p>
    <w:p w14:paraId="725415CB">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★（一）服务内容及标准</w:t>
      </w:r>
    </w:p>
    <w:p w14:paraId="15D13C5D">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 xml:space="preserve">1.双方根据医院临床学科发展的需要，联合在汉源地区举办相关学术会议, </w:t>
      </w:r>
      <w:r>
        <w:rPr>
          <w:rFonts w:hint="eastAsia" w:ascii="仿宋" w:hAnsi="仿宋" w:eastAsia="仿宋" w:cs="仿宋"/>
          <w:bCs/>
          <w:color w:val="auto"/>
          <w:sz w:val="24"/>
          <w:szCs w:val="24"/>
          <w:highlight w:val="none"/>
          <w:lang w:val="en-US" w:eastAsia="zh-CN"/>
        </w:rPr>
        <w:t>每年至少1次，供应商</w:t>
      </w:r>
      <w:r>
        <w:rPr>
          <w:rFonts w:hint="eastAsia" w:ascii="仿宋" w:hAnsi="仿宋" w:eastAsia="仿宋" w:cs="仿宋"/>
          <w:bCs/>
          <w:color w:val="auto"/>
          <w:sz w:val="24"/>
          <w:szCs w:val="24"/>
          <w:highlight w:val="none"/>
          <w:lang w:val="zh-CN" w:eastAsia="zh-CN"/>
        </w:rPr>
        <w:t>邀请国内外专家顾问与</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val="zh-CN" w:eastAsia="zh-CN"/>
        </w:rPr>
        <w:t>专家同台交流培训，提高</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val="zh-CN" w:eastAsia="zh-CN"/>
        </w:rPr>
        <w:t>专家和医院的知名度。</w:t>
      </w:r>
    </w:p>
    <w:p w14:paraId="3E955EF0">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2.</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定期安排专家为</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val="zh-CN" w:eastAsia="zh-CN"/>
        </w:rPr>
        <w:t>提供病理诊断项目临床应用、实验室管理与质量控制等培训，</w:t>
      </w:r>
      <w:r>
        <w:rPr>
          <w:rFonts w:hint="eastAsia" w:ascii="仿宋" w:hAnsi="仿宋" w:eastAsia="仿宋" w:cs="仿宋"/>
          <w:bCs/>
          <w:color w:val="auto"/>
          <w:sz w:val="24"/>
          <w:szCs w:val="24"/>
          <w:highlight w:val="none"/>
          <w:lang w:val="en-US" w:eastAsia="zh-CN"/>
        </w:rPr>
        <w:t>每年至少1次</w:t>
      </w:r>
      <w:r>
        <w:rPr>
          <w:rFonts w:hint="eastAsia" w:ascii="仿宋" w:hAnsi="仿宋" w:eastAsia="仿宋" w:cs="仿宋"/>
          <w:bCs/>
          <w:color w:val="auto"/>
          <w:sz w:val="24"/>
          <w:szCs w:val="24"/>
          <w:highlight w:val="none"/>
          <w:lang w:val="zh-CN" w:eastAsia="zh-CN"/>
        </w:rPr>
        <w:t>。</w:t>
      </w:r>
    </w:p>
    <w:p w14:paraId="4B6E01E6">
      <w:pPr>
        <w:tabs>
          <w:tab w:val="left" w:pos="259"/>
        </w:tabs>
        <w:spacing w:line="312" w:lineRule="auto"/>
        <w:ind w:firstLine="48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3.</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合作期内负责协助病理</w:t>
      </w:r>
      <w:r>
        <w:rPr>
          <w:rFonts w:hint="eastAsia" w:ascii="仿宋" w:hAnsi="仿宋" w:eastAsia="仿宋" w:cs="仿宋"/>
          <w:bCs/>
          <w:color w:val="auto"/>
          <w:sz w:val="24"/>
          <w:szCs w:val="24"/>
          <w:highlight w:val="none"/>
          <w:lang w:val="en-US" w:eastAsia="zh-CN"/>
        </w:rPr>
        <w:t>科</w:t>
      </w:r>
      <w:r>
        <w:rPr>
          <w:rFonts w:hint="eastAsia" w:ascii="仿宋" w:hAnsi="仿宋" w:eastAsia="仿宋" w:cs="仿宋"/>
          <w:bCs/>
          <w:color w:val="auto"/>
          <w:sz w:val="24"/>
          <w:szCs w:val="24"/>
          <w:highlight w:val="none"/>
          <w:lang w:val="zh-CN" w:eastAsia="zh-CN"/>
        </w:rPr>
        <w:t>按照国家相关规范和ISO15189相关要求建设实验室质量管理体系，以保障检测质量，</w:t>
      </w:r>
      <w:r>
        <w:rPr>
          <w:rFonts w:hint="eastAsia" w:ascii="仿宋" w:hAnsi="仿宋" w:eastAsia="仿宋" w:cs="仿宋"/>
          <w:bCs/>
          <w:color w:val="auto"/>
          <w:sz w:val="24"/>
          <w:szCs w:val="24"/>
          <w:highlight w:val="none"/>
          <w:lang w:val="en-US" w:eastAsia="zh-CN"/>
        </w:rPr>
        <w:t>并通过国家级省级质控。</w:t>
      </w:r>
      <w:r>
        <w:rPr>
          <w:rFonts w:hint="eastAsia" w:ascii="仿宋" w:hAnsi="仿宋" w:eastAsia="仿宋" w:cs="仿宋"/>
          <w:b/>
          <w:bCs w:val="0"/>
          <w:color w:val="auto"/>
          <w:sz w:val="24"/>
          <w:szCs w:val="24"/>
          <w:highlight w:val="none"/>
          <w:lang w:val="en-US" w:eastAsia="zh-CN"/>
        </w:rPr>
        <w:t>（提供相关证明材料并加盖供应商公章）</w:t>
      </w:r>
    </w:p>
    <w:p w14:paraId="16418FC7">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4.</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根据实际需要免费为甲方提供ISO15189体系认证、等级评审等筹备工作的辅导培训。</w:t>
      </w:r>
    </w:p>
    <w:p w14:paraId="2479E063">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5.</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有</w:t>
      </w:r>
      <w:r>
        <w:rPr>
          <w:rFonts w:hint="eastAsia" w:ascii="仿宋" w:hAnsi="仿宋" w:eastAsia="仿宋" w:cs="仿宋"/>
          <w:bCs/>
          <w:color w:val="auto"/>
          <w:sz w:val="24"/>
          <w:szCs w:val="24"/>
          <w:highlight w:val="none"/>
          <w:lang w:val="en-US" w:eastAsia="zh-CN"/>
        </w:rPr>
        <w:t>义务</w:t>
      </w:r>
      <w:r>
        <w:rPr>
          <w:rFonts w:hint="eastAsia" w:ascii="仿宋" w:hAnsi="仿宋" w:eastAsia="仿宋" w:cs="仿宋"/>
          <w:bCs/>
          <w:color w:val="auto"/>
          <w:sz w:val="24"/>
          <w:szCs w:val="24"/>
          <w:highlight w:val="none"/>
          <w:lang w:val="zh-CN" w:eastAsia="zh-CN"/>
        </w:rPr>
        <w:t>参与甲方主持召开的病理</w:t>
      </w:r>
      <w:r>
        <w:rPr>
          <w:rFonts w:hint="eastAsia" w:ascii="仿宋" w:hAnsi="仿宋" w:eastAsia="仿宋" w:cs="仿宋"/>
          <w:bCs/>
          <w:color w:val="auto"/>
          <w:sz w:val="24"/>
          <w:szCs w:val="24"/>
          <w:highlight w:val="none"/>
          <w:lang w:val="en-US" w:eastAsia="zh-CN"/>
        </w:rPr>
        <w:t>科</w:t>
      </w:r>
      <w:r>
        <w:rPr>
          <w:rFonts w:hint="eastAsia" w:ascii="仿宋" w:hAnsi="仿宋" w:eastAsia="仿宋" w:cs="仿宋"/>
          <w:bCs/>
          <w:color w:val="auto"/>
          <w:sz w:val="24"/>
          <w:szCs w:val="24"/>
          <w:highlight w:val="none"/>
          <w:lang w:val="zh-CN" w:eastAsia="zh-CN"/>
        </w:rPr>
        <w:t>的管理和业务发展研讨会。</w:t>
      </w:r>
    </w:p>
    <w:p w14:paraId="65F3FADA">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6.</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有义务将客户意见或建议反馈给甲方，并提供专业建议，以提升检测质量及服务水平。</w:t>
      </w:r>
    </w:p>
    <w:p w14:paraId="14B0E927">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val="zh-CN" w:eastAsia="zh-CN"/>
        </w:rPr>
        <w:t>.</w:t>
      </w:r>
      <w:r>
        <w:rPr>
          <w:rFonts w:hint="eastAsia" w:ascii="仿宋" w:hAnsi="仿宋" w:eastAsia="仿宋" w:cs="仿宋"/>
          <w:bCs/>
          <w:color w:val="auto"/>
          <w:sz w:val="24"/>
          <w:szCs w:val="24"/>
          <w:highlight w:val="none"/>
          <w:lang w:val="en-US" w:eastAsia="zh-CN"/>
        </w:rPr>
        <w:t>供应商至少提供3名中级及以上医师多点执业注册在采购人，</w:t>
      </w:r>
      <w:r>
        <w:rPr>
          <w:rFonts w:hint="eastAsia" w:ascii="仿宋" w:hAnsi="仿宋" w:eastAsia="仿宋" w:cs="仿宋"/>
          <w:bCs/>
          <w:color w:val="auto"/>
          <w:sz w:val="24"/>
          <w:szCs w:val="24"/>
          <w:highlight w:val="none"/>
          <w:lang w:val="zh-CN" w:eastAsia="zh-CN"/>
        </w:rPr>
        <w:t>并协助医院验收及登记评审等相关检查。</w:t>
      </w:r>
    </w:p>
    <w:p w14:paraId="09B40C66">
      <w:pPr>
        <w:tabs>
          <w:tab w:val="left" w:pos="259"/>
        </w:tabs>
        <w:spacing w:line="312" w:lineRule="auto"/>
        <w:ind w:firstLine="48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8.供应商有义务提供病理医师及病理技师现场指导甲方人员。</w:t>
      </w:r>
    </w:p>
    <w:p w14:paraId="46A2C1B3">
      <w:pPr>
        <w:tabs>
          <w:tab w:val="left" w:pos="259"/>
        </w:tabs>
        <w:spacing w:line="312" w:lineRule="auto"/>
        <w:ind w:firstLine="48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9.供应商为采购人提供病理科二甲苯和甲醛浓度检测并出具正规监测报告，费用由供应商提供，每年至少1次。</w:t>
      </w:r>
    </w:p>
    <w:p w14:paraId="7D1C641D">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（二）服务要求</w:t>
      </w:r>
    </w:p>
    <w:p w14:paraId="4924A911">
      <w:pPr>
        <w:spacing w:line="312"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供应商应制定技术服务方案，内容包括：（1）远程会诊平台介绍；（2）专家团队构成；（3）会诊流程及响应时间；（4）技术支持与保障措施；（5）数据安全与隐私保护方案。</w:t>
      </w:r>
    </w:p>
    <w:p w14:paraId="0989B053">
      <w:pPr>
        <w:pStyle w:val="19"/>
        <w:ind w:left="0" w:leftChars="0"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供应商应制定应急预案，内容包括：（</w:t>
      </w:r>
      <w:r>
        <w:rPr>
          <w:rFonts w:hint="eastAsia" w:ascii="仿宋" w:hAnsi="仿宋" w:eastAsia="仿宋" w:cs="仿宋"/>
          <w:bCs/>
          <w:color w:val="auto"/>
          <w:sz w:val="24"/>
          <w:szCs w:val="24"/>
          <w:highlight w:val="none"/>
          <w:lang w:val="en-US" w:eastAsia="zh-CN"/>
        </w:rPr>
        <w:t>1）明确应急响应机制；（2）设定紧急会诊流程；（3）配备备用技术支持；（4）保障数据安全；（5）提供应急预案演练记录。</w:t>
      </w:r>
    </w:p>
    <w:p w14:paraId="31443B39">
      <w:pPr>
        <w:pStyle w:val="19"/>
        <w:ind w:left="0" w:leftChars="0"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3.供应商应制定培训方案，内容包括：（1）</w:t>
      </w:r>
      <w:r>
        <w:rPr>
          <w:rFonts w:hint="eastAsia" w:ascii="仿宋" w:hAnsi="仿宋" w:eastAsia="仿宋" w:cs="仿宋"/>
          <w:bCs/>
          <w:color w:val="auto"/>
          <w:sz w:val="24"/>
          <w:szCs w:val="24"/>
          <w:highlight w:val="none"/>
          <w:lang w:val="zh-CN" w:eastAsia="zh-CN"/>
        </w:rPr>
        <w:t>培训目标；（</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val="zh-CN" w:eastAsia="zh-CN"/>
        </w:rPr>
        <w:t>）课程设置；（</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val="zh-CN" w:eastAsia="zh-CN"/>
        </w:rPr>
        <w:t>）师资安排；（</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val="zh-CN" w:eastAsia="zh-CN"/>
        </w:rPr>
        <w:t>）考核标准；（</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val="zh-CN" w:eastAsia="zh-CN"/>
        </w:rPr>
        <w:t>）反馈机制</w:t>
      </w:r>
    </w:p>
    <w:p w14:paraId="350F4E5B">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Cs/>
          <w:color w:val="auto"/>
          <w:sz w:val="24"/>
          <w:szCs w:val="24"/>
          <w:highlight w:val="none"/>
        </w:rPr>
        <w:t>★</w:t>
      </w:r>
      <w:r>
        <w:rPr>
          <w:rFonts w:hint="eastAsia" w:ascii="仿宋" w:hAnsi="仿宋" w:eastAsia="仿宋" w:cs="仿宋"/>
          <w:b/>
          <w:color w:val="auto"/>
          <w:sz w:val="28"/>
          <w:szCs w:val="28"/>
          <w:highlight w:val="none"/>
        </w:rPr>
        <w:t>（三）商务要求</w:t>
      </w:r>
    </w:p>
    <w:p w14:paraId="0BCE9F5E">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1、服务期限：</w:t>
      </w: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年度合同到期，经采购人考核合格后续签下一年合同</w:t>
      </w:r>
      <w:r>
        <w:rPr>
          <w:rFonts w:hint="eastAsia" w:ascii="仿宋" w:hAnsi="仿宋" w:eastAsia="仿宋" w:cs="仿宋"/>
          <w:bCs/>
          <w:color w:val="auto"/>
          <w:sz w:val="24"/>
          <w:szCs w:val="24"/>
          <w:highlight w:val="none"/>
        </w:rPr>
        <w:t>。</w:t>
      </w:r>
    </w:p>
    <w:p w14:paraId="005AABC1">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2、服务地点:</w:t>
      </w:r>
      <w:r>
        <w:rPr>
          <w:rFonts w:hint="eastAsia" w:ascii="仿宋" w:hAnsi="仿宋" w:eastAsia="仿宋" w:cs="仿宋"/>
          <w:bCs/>
          <w:color w:val="auto"/>
          <w:sz w:val="24"/>
          <w:szCs w:val="24"/>
          <w:highlight w:val="none"/>
          <w:lang w:eastAsia="zh-CN"/>
        </w:rPr>
        <w:t>汉源县</w:t>
      </w:r>
      <w:r>
        <w:rPr>
          <w:rFonts w:hint="eastAsia" w:ascii="仿宋" w:hAnsi="仿宋" w:eastAsia="仿宋" w:cs="仿宋"/>
          <w:bCs/>
          <w:color w:val="auto"/>
          <w:sz w:val="24"/>
          <w:szCs w:val="24"/>
          <w:highlight w:val="none"/>
        </w:rPr>
        <w:t>中医医院。</w:t>
      </w:r>
    </w:p>
    <w:p w14:paraId="4A326E4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3、付款方式：</w:t>
      </w:r>
    </w:p>
    <w:p w14:paraId="38C2D036">
      <w:pPr>
        <w:pStyle w:val="41"/>
        <w:ind w:firstLine="48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据实结算，合同签订后，每半年结算一次，由供应商提供结算材料及发票作为付款依据。</w:t>
      </w:r>
    </w:p>
    <w:p w14:paraId="2F5EDDEA">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4、保险</w:t>
      </w:r>
    </w:p>
    <w:p w14:paraId="042818B4">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供应商在项目服务实施过程中的一切安全问题由供应商自行负责，与采购人无关。</w:t>
      </w:r>
    </w:p>
    <w:p w14:paraId="5916CA46">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为本项目提供履约的所有人员应依照《中华人民共和国劳动合同法》订立劳动合同，如有退休人员或其他依法不能签订劳动合同的人员应签订劳务合同，并为上述人员购买意外保险，涉及第三者责任的还应当为其购买第三者责任险。</w:t>
      </w:r>
    </w:p>
    <w:p w14:paraId="7614710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知识产权及保密：供应商应保证所提供的服务或其任何一部分均不会侵犯任何第三方的专利权、商标权或著作权。采购人享有本项目实施过程中产生的知识成果及知识产权。双方互相对尚未公开的业务、技术、财务等商业秘密和接触到的文件、资料或软件等负有保密义务。</w:t>
      </w:r>
    </w:p>
    <w:p w14:paraId="2F2BCDCB">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6、违约责任与解决争议的办法</w:t>
      </w:r>
    </w:p>
    <w:p w14:paraId="28F34306">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6.1</w:t>
      </w:r>
      <w:r>
        <w:rPr>
          <w:rFonts w:hint="eastAsia" w:ascii="仿宋" w:hAnsi="仿宋" w:eastAsia="仿宋" w:cs="仿宋"/>
          <w:bCs/>
          <w:color w:val="auto"/>
          <w:sz w:val="24"/>
          <w:szCs w:val="24"/>
          <w:highlight w:val="none"/>
        </w:rPr>
        <w:t>违约责任</w:t>
      </w:r>
    </w:p>
    <w:p w14:paraId="283F9E8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1）双方必须遵守采购合同并执行采购合同中的各项规定，保证采购合同的正常履行。</w:t>
      </w:r>
    </w:p>
    <w:p w14:paraId="205A5A2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14:paraId="11D4F74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6.2</w:t>
      </w:r>
      <w:r>
        <w:rPr>
          <w:rFonts w:hint="eastAsia" w:ascii="仿宋" w:hAnsi="仿宋" w:eastAsia="仿宋" w:cs="仿宋"/>
          <w:bCs/>
          <w:color w:val="auto"/>
          <w:sz w:val="24"/>
          <w:szCs w:val="24"/>
          <w:highlight w:val="none"/>
        </w:rPr>
        <w:t>解决争议的办法</w:t>
      </w:r>
    </w:p>
    <w:p w14:paraId="713DAD20">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合同履行期间,若双方发生争议，可协商或由有关部门调解解决，协商或调解不成的，由当事人依法向</w:t>
      </w:r>
      <w:r>
        <w:rPr>
          <w:rFonts w:hint="eastAsia" w:ascii="仿宋" w:hAnsi="仿宋" w:eastAsia="仿宋" w:cs="仿宋"/>
          <w:bCs/>
          <w:color w:val="auto"/>
          <w:sz w:val="24"/>
          <w:szCs w:val="24"/>
          <w:highlight w:val="none"/>
          <w:lang w:eastAsia="zh-CN"/>
        </w:rPr>
        <w:t>汉源县人民</w:t>
      </w:r>
      <w:r>
        <w:rPr>
          <w:rFonts w:hint="eastAsia" w:ascii="仿宋" w:hAnsi="仿宋" w:eastAsia="仿宋" w:cs="仿宋"/>
          <w:bCs/>
          <w:color w:val="auto"/>
          <w:sz w:val="24"/>
          <w:szCs w:val="24"/>
          <w:highlight w:val="none"/>
        </w:rPr>
        <w:t>法院提起诉讼维护其合法权益。</w:t>
      </w:r>
    </w:p>
    <w:p w14:paraId="2FE33536">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7、其他要求</w:t>
      </w:r>
    </w:p>
    <w:p w14:paraId="7119328E">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（1）供应商应建立良好的项目实施质量管理、职业健康安全管理、信息技术服务管理、信息安全管理以及环境管理体系，保障项目实施质量以及相关人员健康安全和实施环境安全。</w:t>
      </w:r>
    </w:p>
    <w:p w14:paraId="74C90023">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应为本项目配备项目实施相关人员，采购人在项目执行过程中定期核对供应商提供完成项目所配备的人员数量及相关信息，对于未按照磋商文件及响应文件相关内容执行或存在不合理的部分有权下达整改通知书，并要求供应商限期整改，并根据合同约定的违约情况进行处理。</w:t>
      </w:r>
    </w:p>
    <w:p w14:paraId="10DC0C67">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（3）供应商在项目执行过程中定期及时向采购人通告本项目供货的重大事项及其进度。</w:t>
      </w:r>
    </w:p>
    <w:p w14:paraId="34BA3A69">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（4）接受项目行业管理部门及政府有关部门的指导，接受采购人的监督。</w:t>
      </w:r>
    </w:p>
    <w:p w14:paraId="59F49D1E">
      <w:pPr>
        <w:snapToGrid w:val="0"/>
        <w:spacing w:line="312" w:lineRule="auto"/>
        <w:ind w:firstLine="482" w:firstLineChars="200"/>
        <w:rPr>
          <w:rFonts w:hint="eastAsia" w:ascii="仿宋" w:hAnsi="仿宋" w:eastAsia="仿宋" w:cs="仿宋"/>
          <w:b/>
          <w:color w:val="auto"/>
          <w:sz w:val="24"/>
          <w:szCs w:val="24"/>
          <w:highlight w:val="none"/>
        </w:rPr>
      </w:pPr>
    </w:p>
    <w:p w14:paraId="2F53EFC2">
      <w:pPr>
        <w:pStyle w:val="7"/>
        <w:rPr>
          <w:rFonts w:hint="eastAsia"/>
          <w:color w:val="auto"/>
          <w:highlight w:val="none"/>
        </w:rPr>
      </w:pPr>
    </w:p>
    <w:p w14:paraId="3F2AD6E2">
      <w:pPr>
        <w:snapToGrid w:val="0"/>
        <w:spacing w:line="312" w:lineRule="auto"/>
        <w:ind w:firstLine="422" w:firstLineChars="175"/>
        <w:rPr>
          <w:rFonts w:hint="eastAsia" w:ascii="仿宋" w:hAnsi="仿宋" w:eastAsia="仿宋" w:cs="仿宋"/>
          <w:b/>
          <w:bCs/>
          <w:color w:val="auto"/>
          <w:sz w:val="24"/>
          <w:highlight w:val="none"/>
        </w:rPr>
      </w:pPr>
    </w:p>
    <w:bookmarkEnd w:id="88"/>
    <w:p w14:paraId="42CDE2BF">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92" w:name="_Toc507102949"/>
      <w:bookmarkStart w:id="93" w:name="_Toc36562448"/>
      <w:bookmarkStart w:id="94" w:name="_Toc13301"/>
      <w:bookmarkStart w:id="95" w:name="_Toc9201"/>
      <w:bookmarkStart w:id="96" w:name="_Toc19969"/>
      <w:r>
        <w:rPr>
          <w:rFonts w:hint="eastAsia" w:ascii="仿宋" w:hAnsi="仿宋" w:eastAsia="仿宋" w:cs="仿宋"/>
          <w:color w:val="auto"/>
          <w:sz w:val="36"/>
          <w:szCs w:val="36"/>
          <w:highlight w:val="none"/>
        </w:rPr>
        <w:t>第六章  磋商内容、磋商过程中可实质性变动的内容</w:t>
      </w:r>
      <w:bookmarkEnd w:id="92"/>
      <w:bookmarkEnd w:id="93"/>
      <w:bookmarkEnd w:id="94"/>
      <w:bookmarkEnd w:id="95"/>
      <w:bookmarkEnd w:id="96"/>
    </w:p>
    <w:p w14:paraId="5021AD8A">
      <w:pPr>
        <w:snapToGrid w:val="0"/>
        <w:spacing w:line="312" w:lineRule="auto"/>
        <w:ind w:firstLine="482" w:firstLineChars="200"/>
        <w:rPr>
          <w:rFonts w:hint="eastAsia" w:ascii="仿宋" w:hAnsi="仿宋" w:eastAsia="仿宋" w:cs="仿宋"/>
          <w:b/>
          <w:bCs/>
          <w:color w:val="auto"/>
          <w:kern w:val="44"/>
          <w:sz w:val="24"/>
          <w:highlight w:val="none"/>
        </w:rPr>
      </w:pPr>
    </w:p>
    <w:p w14:paraId="43462185">
      <w:pPr>
        <w:snapToGrid w:val="0"/>
        <w:spacing w:line="312" w:lineRule="auto"/>
        <w:ind w:firstLine="482" w:firstLineChars="200"/>
        <w:rPr>
          <w:rFonts w:hint="eastAsia" w:ascii="仿宋" w:hAnsi="仿宋" w:eastAsia="仿宋" w:cs="仿宋"/>
          <w:b/>
          <w:bCs/>
          <w:color w:val="auto"/>
          <w:kern w:val="44"/>
          <w:sz w:val="24"/>
          <w:highlight w:val="none"/>
        </w:rPr>
      </w:pPr>
      <w:r>
        <w:rPr>
          <w:rFonts w:hint="eastAsia" w:ascii="仿宋" w:hAnsi="仿宋" w:eastAsia="仿宋" w:cs="仿宋"/>
          <w:b/>
          <w:bCs/>
          <w:color w:val="auto"/>
          <w:kern w:val="44"/>
          <w:sz w:val="24"/>
          <w:highlight w:val="none"/>
        </w:rPr>
        <w:t>一、技术、服务要求：</w:t>
      </w:r>
    </w:p>
    <w:p w14:paraId="2871DC25">
      <w:pPr>
        <w:snapToGrid w:val="0"/>
        <w:spacing w:line="312" w:lineRule="auto"/>
        <w:ind w:firstLine="480" w:firstLineChars="200"/>
        <w:rPr>
          <w:rFonts w:hint="eastAsia" w:ascii="仿宋" w:hAnsi="仿宋" w:eastAsia="仿宋" w:cs="仿宋"/>
          <w:color w:val="auto"/>
          <w:kern w:val="44"/>
          <w:sz w:val="24"/>
          <w:highlight w:val="none"/>
        </w:rPr>
      </w:pPr>
      <w:r>
        <w:rPr>
          <w:rFonts w:hint="eastAsia" w:ascii="仿宋" w:hAnsi="仿宋" w:eastAsia="仿宋" w:cs="仿宋"/>
          <w:color w:val="auto"/>
          <w:kern w:val="44"/>
          <w:sz w:val="24"/>
          <w:highlight w:val="none"/>
        </w:rPr>
        <w:t>详见第五章</w:t>
      </w:r>
    </w:p>
    <w:p w14:paraId="218776EA">
      <w:pPr>
        <w:pStyle w:val="7"/>
        <w:snapToGrid w:val="0"/>
        <w:spacing w:after="0" w:line="312" w:lineRule="auto"/>
        <w:rPr>
          <w:rFonts w:hint="eastAsia" w:ascii="仿宋" w:hAnsi="仿宋" w:eastAsia="仿宋" w:cs="仿宋"/>
          <w:color w:val="auto"/>
          <w:kern w:val="44"/>
          <w:sz w:val="24"/>
          <w:highlight w:val="none"/>
        </w:rPr>
      </w:pPr>
    </w:p>
    <w:p w14:paraId="356AEAE0">
      <w:pPr>
        <w:pStyle w:val="7"/>
        <w:snapToGrid w:val="0"/>
        <w:spacing w:after="0" w:line="312" w:lineRule="auto"/>
        <w:rPr>
          <w:rFonts w:hint="eastAsia" w:ascii="仿宋" w:hAnsi="仿宋" w:eastAsia="仿宋" w:cs="仿宋"/>
          <w:color w:val="auto"/>
          <w:kern w:val="44"/>
          <w:sz w:val="24"/>
          <w:highlight w:val="none"/>
        </w:rPr>
      </w:pPr>
    </w:p>
    <w:p w14:paraId="56F2FA93">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注：针对第五章所包含的技术、服务要求以及</w:t>
      </w:r>
      <w:r>
        <w:rPr>
          <w:rFonts w:hint="eastAsia" w:ascii="仿宋" w:hAnsi="仿宋" w:eastAsia="仿宋" w:cs="仿宋"/>
          <w:b/>
          <w:bCs/>
          <w:color w:val="auto"/>
          <w:sz w:val="24"/>
          <w:szCs w:val="24"/>
          <w:highlight w:val="none"/>
          <w:lang w:val="zh-CN"/>
        </w:rPr>
        <w:t>拟签订的合同文本</w:t>
      </w:r>
      <w:r>
        <w:rPr>
          <w:rFonts w:hint="eastAsia" w:ascii="仿宋" w:hAnsi="仿宋" w:eastAsia="仿宋" w:cs="仿宋"/>
          <w:b/>
          <w:bCs/>
          <w:color w:val="auto"/>
          <w:sz w:val="24"/>
          <w:highlight w:val="none"/>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40DDBEA8">
      <w:pPr>
        <w:snapToGrid w:val="0"/>
        <w:spacing w:line="312" w:lineRule="auto"/>
        <w:ind w:firstLine="480" w:firstLineChars="200"/>
        <w:rPr>
          <w:rFonts w:hint="eastAsia" w:ascii="仿宋" w:hAnsi="仿宋" w:eastAsia="仿宋" w:cs="仿宋"/>
          <w:color w:val="auto"/>
          <w:sz w:val="24"/>
          <w:highlight w:val="none"/>
        </w:rPr>
      </w:pPr>
    </w:p>
    <w:p w14:paraId="6A4F84EC">
      <w:pPr>
        <w:snapToGrid w:val="0"/>
        <w:spacing w:line="312" w:lineRule="auto"/>
        <w:ind w:firstLine="480" w:firstLineChars="200"/>
        <w:rPr>
          <w:rFonts w:hint="eastAsia" w:ascii="仿宋" w:hAnsi="仿宋" w:eastAsia="仿宋" w:cs="仿宋"/>
          <w:color w:val="auto"/>
          <w:sz w:val="24"/>
          <w:highlight w:val="none"/>
        </w:rPr>
      </w:pPr>
    </w:p>
    <w:p w14:paraId="2B3E7F22">
      <w:pPr>
        <w:pStyle w:val="23"/>
        <w:snapToGrid w:val="0"/>
        <w:spacing w:line="312" w:lineRule="auto"/>
        <w:rPr>
          <w:rFonts w:ascii="仿宋" w:hAnsi="仿宋" w:eastAsia="仿宋" w:cs="仿宋"/>
          <w:b/>
          <w:bCs/>
          <w:color w:val="auto"/>
          <w:sz w:val="32"/>
          <w:szCs w:val="32"/>
          <w:highlight w:val="none"/>
        </w:rPr>
      </w:pPr>
    </w:p>
    <w:p w14:paraId="3DDDA51D">
      <w:pPr>
        <w:widowControl/>
        <w:snapToGrid w:val="0"/>
        <w:spacing w:line="312" w:lineRule="auto"/>
        <w:jc w:val="left"/>
        <w:rPr>
          <w:rFonts w:hint="eastAsia" w:ascii="仿宋" w:hAnsi="仿宋" w:eastAsia="仿宋" w:cs="仿宋"/>
          <w:b/>
          <w:bCs/>
          <w:color w:val="auto"/>
          <w:kern w:val="44"/>
          <w:sz w:val="36"/>
          <w:szCs w:val="36"/>
          <w:highlight w:val="none"/>
        </w:rPr>
      </w:pPr>
    </w:p>
    <w:p w14:paraId="08885A83">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97" w:name="_Toc13969"/>
      <w:bookmarkStart w:id="98" w:name="_Toc20677"/>
      <w:bookmarkStart w:id="99" w:name="_Toc36562449"/>
      <w:r>
        <w:rPr>
          <w:rFonts w:hint="eastAsia" w:ascii="仿宋" w:hAnsi="仿宋" w:eastAsia="仿宋" w:cs="仿宋"/>
          <w:color w:val="auto"/>
          <w:sz w:val="36"/>
          <w:szCs w:val="36"/>
          <w:highlight w:val="none"/>
        </w:rPr>
        <w:t>第七章  响应文件格式</w:t>
      </w:r>
      <w:bookmarkEnd w:id="97"/>
      <w:bookmarkEnd w:id="98"/>
      <w:bookmarkEnd w:id="99"/>
    </w:p>
    <w:p w14:paraId="066D08B5">
      <w:pPr>
        <w:snapToGrid w:val="0"/>
        <w:spacing w:line="312" w:lineRule="auto"/>
        <w:jc w:val="left"/>
        <w:rPr>
          <w:rFonts w:hint="eastAsia" w:ascii="仿宋" w:hAnsi="仿宋" w:eastAsia="仿宋" w:cs="仿宋"/>
          <w:color w:val="auto"/>
          <w:sz w:val="24"/>
          <w:highlight w:val="none"/>
        </w:rPr>
      </w:pPr>
    </w:p>
    <w:p w14:paraId="030573B0">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一、本章所制响应文件格式，除法定代表人/单位负责人身份证明书、法定代表人/单位负责人授权书以及格式中明确将该格式作为实质性要求的，一律不具有强制性。</w:t>
      </w:r>
    </w:p>
    <w:p w14:paraId="44117733">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二、本章所制响应文件格式有关表格中的备注栏，由供应商根据自身响应情况作解释性说明，不作为必填项。</w:t>
      </w:r>
    </w:p>
    <w:p w14:paraId="759C980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14:paraId="122D9117">
      <w:pPr>
        <w:snapToGrid w:val="0"/>
        <w:spacing w:line="312" w:lineRule="auto"/>
        <w:jc w:val="center"/>
        <w:rPr>
          <w:rFonts w:hint="eastAsia" w:ascii="仿宋" w:hAnsi="仿宋" w:eastAsia="仿宋" w:cs="仿宋"/>
          <w:b/>
          <w:color w:val="auto"/>
          <w:sz w:val="32"/>
          <w:szCs w:val="32"/>
          <w:highlight w:val="none"/>
        </w:rPr>
      </w:pPr>
    </w:p>
    <w:p w14:paraId="699F50F3">
      <w:pPr>
        <w:snapToGrid w:val="0"/>
        <w:spacing w:line="312" w:lineRule="auto"/>
        <w:jc w:val="center"/>
        <w:rPr>
          <w:rFonts w:hint="eastAsia" w:ascii="仿宋" w:hAnsi="仿宋" w:eastAsia="仿宋" w:cs="仿宋"/>
          <w:b/>
          <w:color w:val="auto"/>
          <w:sz w:val="32"/>
          <w:szCs w:val="32"/>
          <w:highlight w:val="none"/>
        </w:rPr>
      </w:pPr>
    </w:p>
    <w:p w14:paraId="10197894">
      <w:pPr>
        <w:snapToGrid w:val="0"/>
        <w:spacing w:line="312" w:lineRule="auto"/>
        <w:jc w:val="center"/>
        <w:rPr>
          <w:rFonts w:hint="eastAsia" w:ascii="仿宋" w:hAnsi="仿宋" w:eastAsia="仿宋" w:cs="仿宋"/>
          <w:b/>
          <w:color w:val="auto"/>
          <w:sz w:val="32"/>
          <w:szCs w:val="32"/>
          <w:highlight w:val="none"/>
        </w:rPr>
      </w:pPr>
    </w:p>
    <w:p w14:paraId="63351C21">
      <w:pPr>
        <w:snapToGrid w:val="0"/>
        <w:spacing w:line="312" w:lineRule="auto"/>
        <w:jc w:val="center"/>
        <w:rPr>
          <w:rFonts w:hint="eastAsia" w:ascii="仿宋" w:hAnsi="仿宋" w:eastAsia="仿宋" w:cs="仿宋"/>
          <w:b/>
          <w:color w:val="auto"/>
          <w:sz w:val="32"/>
          <w:szCs w:val="32"/>
          <w:highlight w:val="none"/>
        </w:rPr>
      </w:pPr>
    </w:p>
    <w:p w14:paraId="219EAEC0">
      <w:pPr>
        <w:snapToGrid w:val="0"/>
        <w:spacing w:line="312" w:lineRule="auto"/>
        <w:jc w:val="center"/>
        <w:rPr>
          <w:rFonts w:hint="eastAsia" w:ascii="仿宋" w:hAnsi="仿宋" w:eastAsia="仿宋" w:cs="仿宋"/>
          <w:b/>
          <w:color w:val="auto"/>
          <w:sz w:val="32"/>
          <w:szCs w:val="32"/>
          <w:highlight w:val="none"/>
        </w:rPr>
      </w:pPr>
    </w:p>
    <w:p w14:paraId="5FC97CA0">
      <w:pPr>
        <w:snapToGrid w:val="0"/>
        <w:spacing w:line="312" w:lineRule="auto"/>
        <w:jc w:val="center"/>
        <w:rPr>
          <w:rFonts w:hint="eastAsia" w:ascii="仿宋" w:hAnsi="仿宋" w:eastAsia="仿宋" w:cs="仿宋"/>
          <w:b/>
          <w:color w:val="auto"/>
          <w:sz w:val="32"/>
          <w:szCs w:val="32"/>
          <w:highlight w:val="none"/>
        </w:rPr>
      </w:pPr>
    </w:p>
    <w:p w14:paraId="0DEB4A86">
      <w:pPr>
        <w:snapToGrid w:val="0"/>
        <w:spacing w:line="312" w:lineRule="auto"/>
        <w:jc w:val="center"/>
        <w:rPr>
          <w:rFonts w:hint="eastAsia" w:ascii="仿宋" w:hAnsi="仿宋" w:eastAsia="仿宋" w:cs="仿宋"/>
          <w:b/>
          <w:color w:val="auto"/>
          <w:sz w:val="32"/>
          <w:szCs w:val="32"/>
          <w:highlight w:val="none"/>
        </w:rPr>
      </w:pPr>
    </w:p>
    <w:p w14:paraId="482821D0">
      <w:pPr>
        <w:snapToGrid w:val="0"/>
        <w:spacing w:line="312" w:lineRule="auto"/>
        <w:jc w:val="center"/>
        <w:rPr>
          <w:rFonts w:hint="eastAsia" w:ascii="仿宋" w:hAnsi="仿宋" w:eastAsia="仿宋" w:cs="仿宋"/>
          <w:b/>
          <w:color w:val="auto"/>
          <w:sz w:val="32"/>
          <w:szCs w:val="32"/>
          <w:highlight w:val="none"/>
        </w:rPr>
      </w:pPr>
    </w:p>
    <w:p w14:paraId="37AC6EE7">
      <w:pPr>
        <w:snapToGrid w:val="0"/>
        <w:spacing w:line="312"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21BC635">
      <w:pPr>
        <w:pStyle w:val="42"/>
        <w:rPr>
          <w:rFonts w:hint="eastAsia"/>
        </w:rPr>
      </w:pPr>
      <w:bookmarkStart w:id="100" w:name="_Toc36562450"/>
      <w:bookmarkStart w:id="101" w:name="_Toc29350"/>
      <w:bookmarkStart w:id="102" w:name="_Toc2467"/>
      <w:r>
        <w:rPr>
          <w:rFonts w:hint="eastAsia"/>
        </w:rPr>
        <w:t>附件：密封袋的格式</w:t>
      </w:r>
    </w:p>
    <w:p w14:paraId="530BB0DD">
      <w:pPr>
        <w:pStyle w:val="42"/>
        <w:rPr>
          <w:rFonts w:hint="eastAsia"/>
        </w:rPr>
      </w:pPr>
    </w:p>
    <w:p w14:paraId="64262FFD">
      <w:pPr>
        <w:pStyle w:val="42"/>
        <w:rPr>
          <w:rFonts w:hint="eastAsia"/>
        </w:rPr>
      </w:pPr>
    </w:p>
    <w:p w14:paraId="538F4D59">
      <w:pPr>
        <w:pStyle w:val="42"/>
        <w:rPr>
          <w:rFonts w:hint="eastAsia"/>
        </w:rPr>
      </w:pPr>
    </w:p>
    <w:tbl>
      <w:tblPr>
        <w:tblStyle w:val="20"/>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14:paraId="55BB8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noWrap w:val="0"/>
            <w:vAlign w:val="top"/>
          </w:tcPr>
          <w:p w14:paraId="6CF55659">
            <w:pPr>
              <w:pStyle w:val="42"/>
              <w:rPr>
                <w:rFonts w:hint="eastAsia"/>
              </w:rPr>
            </w:pPr>
          </w:p>
          <w:p w14:paraId="2ED8102E">
            <w:pPr>
              <w:tabs>
                <w:tab w:val="left" w:pos="7665"/>
              </w:tabs>
              <w:spacing w:line="400" w:lineRule="exact"/>
              <w:ind w:firstLine="1995" w:firstLineChars="950"/>
              <w:rPr>
                <w:rFonts w:hint="eastAsia" w:cs="宋体"/>
                <w:color w:val="000000"/>
                <w:u w:val="single"/>
              </w:rPr>
            </w:pPr>
            <w:r>
              <w:rPr>
                <w:rFonts w:hint="eastAsia" w:cs="宋体"/>
                <w:color w:val="000000"/>
              </w:rPr>
              <w:t>项目编号：</w:t>
            </w:r>
          </w:p>
          <w:p w14:paraId="1C5F6FA2">
            <w:pPr>
              <w:tabs>
                <w:tab w:val="left" w:pos="7665"/>
              </w:tabs>
              <w:spacing w:line="400" w:lineRule="exact"/>
              <w:ind w:firstLine="1995" w:firstLineChars="950"/>
              <w:rPr>
                <w:rFonts w:hint="eastAsia" w:cs="宋体"/>
                <w:color w:val="000000"/>
                <w:u w:val="single"/>
              </w:rPr>
            </w:pPr>
            <w:r>
              <w:rPr>
                <w:rFonts w:hint="eastAsia" w:cs="宋体"/>
                <w:color w:val="000000"/>
              </w:rPr>
              <w:t>项目名称：</w:t>
            </w:r>
          </w:p>
          <w:p w14:paraId="6F30CC88">
            <w:pPr>
              <w:tabs>
                <w:tab w:val="left" w:pos="7665"/>
              </w:tabs>
              <w:spacing w:line="400" w:lineRule="exact"/>
              <w:jc w:val="center"/>
              <w:rPr>
                <w:rFonts w:hint="eastAsia" w:cs="宋体"/>
                <w:b/>
                <w:color w:val="000000"/>
                <w:sz w:val="32"/>
                <w:szCs w:val="32"/>
              </w:rPr>
            </w:pPr>
          </w:p>
          <w:p w14:paraId="6E69F9A8">
            <w:pPr>
              <w:pStyle w:val="42"/>
              <w:jc w:val="center"/>
              <w:rPr>
                <w:rFonts w:hint="eastAsia"/>
                <w:b/>
                <w:bCs/>
                <w:sz w:val="32"/>
                <w:szCs w:val="32"/>
              </w:rPr>
            </w:pPr>
            <w:r>
              <w:rPr>
                <w:rFonts w:hint="eastAsia"/>
                <w:b/>
                <w:bCs/>
                <w:sz w:val="32"/>
                <w:szCs w:val="32"/>
              </w:rPr>
              <w:t>资格、资质响应文件</w:t>
            </w:r>
          </w:p>
          <w:p w14:paraId="1847F4E0">
            <w:pPr>
              <w:pStyle w:val="42"/>
              <w:jc w:val="center"/>
              <w:rPr>
                <w:rFonts w:hint="eastAsia"/>
                <w:b/>
                <w:bCs/>
                <w:sz w:val="32"/>
                <w:szCs w:val="32"/>
              </w:rPr>
            </w:pPr>
            <w:r>
              <w:rPr>
                <w:rFonts w:hint="eastAsia"/>
                <w:b/>
                <w:bCs/>
                <w:sz w:val="32"/>
                <w:szCs w:val="32"/>
              </w:rPr>
              <w:t>/其他响应文件</w:t>
            </w:r>
          </w:p>
          <w:p w14:paraId="3CD1A3BC">
            <w:pPr>
              <w:tabs>
                <w:tab w:val="left" w:pos="7665"/>
              </w:tabs>
              <w:spacing w:line="400" w:lineRule="exact"/>
              <w:jc w:val="center"/>
              <w:rPr>
                <w:rFonts w:hint="eastAsia" w:cs="宋体"/>
                <w:color w:val="000000"/>
              </w:rPr>
            </w:pPr>
            <w:r>
              <w:rPr>
                <w:rFonts w:hint="eastAsia" w:cs="宋体"/>
                <w:color w:val="000000"/>
              </w:rPr>
              <w:t>第包(涉及分包时填写)</w:t>
            </w:r>
          </w:p>
          <w:p w14:paraId="6B574377">
            <w:pPr>
              <w:tabs>
                <w:tab w:val="left" w:pos="7665"/>
              </w:tabs>
              <w:spacing w:line="400" w:lineRule="exact"/>
              <w:ind w:firstLine="1995" w:firstLineChars="950"/>
              <w:rPr>
                <w:rFonts w:hint="eastAsia" w:cs="宋体"/>
                <w:color w:val="000000"/>
                <w:u w:val="single"/>
              </w:rPr>
            </w:pPr>
            <w:r>
              <w:rPr>
                <w:rFonts w:hint="eastAsia" w:cs="宋体"/>
                <w:color w:val="000000"/>
              </w:rPr>
              <w:t>供应商名称：</w:t>
            </w:r>
          </w:p>
          <w:p w14:paraId="04BCD796">
            <w:pPr>
              <w:pStyle w:val="42"/>
              <w:ind w:firstLine="1995" w:firstLineChars="950"/>
              <w:rPr>
                <w:rFonts w:hint="eastAsia"/>
              </w:rPr>
            </w:pPr>
            <w:r>
              <w:rPr>
                <w:rFonts w:hint="eastAsia" w:cs="宋体"/>
                <w:color w:val="000000"/>
              </w:rPr>
              <w:t>磋商时间：</w:t>
            </w:r>
          </w:p>
          <w:p w14:paraId="4F7F684D">
            <w:pPr>
              <w:pStyle w:val="42"/>
              <w:rPr>
                <w:rFonts w:hint="eastAsia"/>
              </w:rPr>
            </w:pPr>
          </w:p>
        </w:tc>
      </w:tr>
    </w:tbl>
    <w:p w14:paraId="088BDCEF">
      <w:pPr>
        <w:pStyle w:val="42"/>
        <w:rPr>
          <w:rFonts w:hint="eastAsia"/>
        </w:rPr>
      </w:pPr>
      <w:bookmarkStart w:id="103" w:name="_Toc6994"/>
      <w:bookmarkStart w:id="104" w:name="_Toc11581"/>
    </w:p>
    <w:p w14:paraId="76B885A0">
      <w:pPr>
        <w:pStyle w:val="42"/>
        <w:rPr>
          <w:rFonts w:hint="eastAsia"/>
        </w:rPr>
      </w:pPr>
    </w:p>
    <w:p w14:paraId="197169B7">
      <w:pPr>
        <w:pStyle w:val="42"/>
        <w:rPr>
          <w:rFonts w:hint="eastAsia"/>
        </w:rPr>
      </w:pPr>
    </w:p>
    <w:p w14:paraId="657874DB">
      <w:pPr>
        <w:pStyle w:val="42"/>
        <w:rPr>
          <w:rFonts w:hint="eastAsia"/>
        </w:rPr>
      </w:pPr>
    </w:p>
    <w:p w14:paraId="1890E097">
      <w:pPr>
        <w:pStyle w:val="42"/>
        <w:rPr>
          <w:rFonts w:hint="eastAsia"/>
        </w:rPr>
      </w:pPr>
    </w:p>
    <w:p w14:paraId="3C94AC9D">
      <w:pPr>
        <w:pStyle w:val="42"/>
        <w:rPr>
          <w:rFonts w:hint="eastAsia"/>
        </w:rPr>
      </w:pPr>
    </w:p>
    <w:p w14:paraId="61434D7C">
      <w:pPr>
        <w:pStyle w:val="42"/>
        <w:rPr>
          <w:rFonts w:hint="eastAsia"/>
        </w:rPr>
      </w:pPr>
    </w:p>
    <w:p w14:paraId="0BA48859">
      <w:pPr>
        <w:pStyle w:val="42"/>
        <w:rPr>
          <w:rFonts w:hint="eastAsia"/>
        </w:rPr>
      </w:pPr>
    </w:p>
    <w:p w14:paraId="0E721DDA">
      <w:pPr>
        <w:pStyle w:val="42"/>
        <w:rPr>
          <w:rFonts w:hint="eastAsia"/>
        </w:rPr>
      </w:pPr>
    </w:p>
    <w:p w14:paraId="42B0B217">
      <w:pPr>
        <w:pStyle w:val="42"/>
        <w:rPr>
          <w:rFonts w:hint="eastAsia"/>
        </w:rPr>
      </w:pPr>
    </w:p>
    <w:p w14:paraId="5ACAFE56">
      <w:pPr>
        <w:pStyle w:val="42"/>
        <w:rPr>
          <w:rFonts w:hint="eastAsia"/>
        </w:rPr>
      </w:pPr>
    </w:p>
    <w:p w14:paraId="3A26EF56">
      <w:pPr>
        <w:pStyle w:val="42"/>
        <w:rPr>
          <w:rFonts w:hint="eastAsia"/>
        </w:rPr>
      </w:pPr>
    </w:p>
    <w:p w14:paraId="5CD48BC2">
      <w:pPr>
        <w:pStyle w:val="42"/>
        <w:rPr>
          <w:rFonts w:hint="eastAsia"/>
        </w:rPr>
      </w:pPr>
    </w:p>
    <w:p w14:paraId="66B26120">
      <w:pPr>
        <w:pStyle w:val="42"/>
        <w:rPr>
          <w:rFonts w:hint="eastAsia"/>
        </w:rPr>
      </w:pPr>
    </w:p>
    <w:p w14:paraId="3CD38AEB">
      <w:pPr>
        <w:pStyle w:val="42"/>
        <w:rPr>
          <w:rFonts w:hint="eastAsia"/>
        </w:rPr>
      </w:pPr>
    </w:p>
    <w:p w14:paraId="187912BD">
      <w:pPr>
        <w:pStyle w:val="42"/>
        <w:rPr>
          <w:rFonts w:hint="eastAsia"/>
        </w:rPr>
      </w:pPr>
    </w:p>
    <w:p w14:paraId="0EBD7871">
      <w:pPr>
        <w:pStyle w:val="42"/>
        <w:rPr>
          <w:rFonts w:hint="eastAsia"/>
        </w:rPr>
      </w:pPr>
    </w:p>
    <w:p w14:paraId="4815BE67">
      <w:pPr>
        <w:pStyle w:val="42"/>
        <w:rPr>
          <w:rFonts w:hint="eastAsia"/>
        </w:rPr>
      </w:pPr>
    </w:p>
    <w:p w14:paraId="7FF2AD4C">
      <w:pPr>
        <w:pStyle w:val="42"/>
        <w:rPr>
          <w:rFonts w:hint="eastAsia"/>
        </w:rPr>
      </w:pPr>
    </w:p>
    <w:p w14:paraId="7D57EBD0">
      <w:pPr>
        <w:pStyle w:val="42"/>
        <w:rPr>
          <w:rFonts w:hint="eastAsia"/>
        </w:rPr>
      </w:pPr>
    </w:p>
    <w:p w14:paraId="5E1FECFC">
      <w:pPr>
        <w:pStyle w:val="42"/>
        <w:rPr>
          <w:rFonts w:hint="eastAsia"/>
        </w:rPr>
      </w:pPr>
    </w:p>
    <w:p w14:paraId="73856831">
      <w:pPr>
        <w:pStyle w:val="42"/>
        <w:rPr>
          <w:rFonts w:hint="eastAsia"/>
        </w:rPr>
      </w:pPr>
    </w:p>
    <w:p w14:paraId="033BCB4B">
      <w:pPr>
        <w:pStyle w:val="42"/>
        <w:rPr>
          <w:rFonts w:hint="eastAsia"/>
        </w:rPr>
      </w:pPr>
      <w:r>
        <w:rPr>
          <w:rFonts w:hint="eastAsia"/>
        </w:rPr>
        <w:t>响应文件封面格式</w:t>
      </w:r>
      <w:bookmarkEnd w:id="103"/>
      <w:bookmarkEnd w:id="104"/>
    </w:p>
    <w:p w14:paraId="168FBD98">
      <w:pPr>
        <w:pStyle w:val="42"/>
        <w:rPr>
          <w:rFonts w:hint="eastAsia"/>
        </w:rPr>
      </w:pPr>
      <w:r>
        <w:rPr>
          <w:rFonts w:hint="eastAsia"/>
          <w:lang w:val="zh-CN"/>
        </w:rPr>
        <mc:AlternateContent>
          <mc:Choice Requires="wps">
            <w:drawing>
              <wp:anchor distT="0" distB="0" distL="114300" distR="114300" simplePos="0" relativeHeight="251659264" behindDoc="0" locked="0" layoutInCell="1" allowOverlap="1">
                <wp:simplePos x="0" y="0"/>
                <wp:positionH relativeFrom="column">
                  <wp:posOffset>4055745</wp:posOffset>
                </wp:positionH>
                <wp:positionV relativeFrom="paragraph">
                  <wp:posOffset>169545</wp:posOffset>
                </wp:positionV>
                <wp:extent cx="1137285" cy="380365"/>
                <wp:effectExtent l="4445" t="4445" r="20320" b="15240"/>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447523">
                            <w:pPr>
                              <w:tabs>
                                <w:tab w:val="left" w:pos="0"/>
                              </w:tabs>
                              <w:rPr>
                                <w:rFonts w:hint="eastAsia"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9.95pt;width:89.55pt;z-index:251659264;mso-width-relative:page;mso-height-relative:page;" fillcolor="#FFFFFF" filled="t" stroked="t" coordsize="21600,21600" o:gfxdata="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jqLT9cAAAAJAQAADwAAAAAA&#10;AAABACAAAAAiAAAAZHJzL2Rvd25yZXYueG1sUEsBAhQAFAAAAAgAh07iQEMXbsQUAgAAUQQAAA4A&#10;AAAAAAAAAQAgAAAAJgEAAGRycy9lMm9Eb2MueG1sUEsFBgAAAAAGAAYAWQEAAKwFAAAAAA==&#10;">
                <v:fill on="t" focussize="0,0"/>
                <v:stroke color="#000000" joinstyle="miter"/>
                <v:imagedata o:title=""/>
                <o:lock v:ext="edit" aspectratio="f"/>
                <v:textbox style="mso-fit-shape-to-text:t;">
                  <w:txbxContent>
                    <w:p w14:paraId="77447523">
                      <w:pPr>
                        <w:tabs>
                          <w:tab w:val="left" w:pos="0"/>
                        </w:tabs>
                        <w:rPr>
                          <w:rFonts w:hint="eastAsia" w:cs="宋体"/>
                          <w:b/>
                          <w:sz w:val="28"/>
                          <w:szCs w:val="28"/>
                        </w:rPr>
                      </w:pPr>
                      <w:r>
                        <w:rPr>
                          <w:rFonts w:hint="eastAsia" w:cs="宋体"/>
                          <w:b/>
                          <w:sz w:val="28"/>
                          <w:szCs w:val="28"/>
                        </w:rPr>
                        <w:t>正本或副本</w:t>
                      </w:r>
                    </w:p>
                  </w:txbxContent>
                </v:textbox>
              </v:rect>
            </w:pict>
          </mc:Fallback>
        </mc:AlternateContent>
      </w:r>
    </w:p>
    <w:p w14:paraId="73CB6553">
      <w:pPr>
        <w:pStyle w:val="42"/>
        <w:rPr>
          <w:rFonts w:hint="eastAsia"/>
        </w:rPr>
      </w:pPr>
    </w:p>
    <w:p w14:paraId="7FC2D82E">
      <w:pPr>
        <w:pStyle w:val="42"/>
        <w:rPr>
          <w:rFonts w:hint="eastAsia"/>
        </w:rPr>
      </w:pPr>
    </w:p>
    <w:p w14:paraId="4323BE4E">
      <w:pPr>
        <w:pStyle w:val="42"/>
        <w:rPr>
          <w:rFonts w:hint="eastAsia"/>
        </w:rPr>
      </w:pPr>
    </w:p>
    <w:p w14:paraId="34E626BA">
      <w:pPr>
        <w:pStyle w:val="42"/>
        <w:spacing w:line="360" w:lineRule="auto"/>
        <w:jc w:val="center"/>
        <w:rPr>
          <w:rFonts w:hint="eastAsia"/>
          <w:b/>
          <w:bCs/>
          <w:sz w:val="48"/>
          <w:szCs w:val="48"/>
        </w:rPr>
      </w:pPr>
    </w:p>
    <w:p w14:paraId="1795F8AF">
      <w:pPr>
        <w:pStyle w:val="42"/>
        <w:spacing w:line="360" w:lineRule="auto"/>
        <w:jc w:val="center"/>
        <w:rPr>
          <w:rFonts w:hint="eastAsia"/>
          <w:b/>
          <w:bCs/>
          <w:sz w:val="48"/>
          <w:szCs w:val="48"/>
        </w:rPr>
      </w:pPr>
      <w:r>
        <w:rPr>
          <w:rFonts w:hint="eastAsia"/>
          <w:b/>
          <w:bCs/>
          <w:sz w:val="48"/>
          <w:szCs w:val="48"/>
        </w:rPr>
        <w:t>资格性响应文件</w:t>
      </w:r>
    </w:p>
    <w:p w14:paraId="1D7821E5">
      <w:pPr>
        <w:pStyle w:val="42"/>
        <w:spacing w:line="360" w:lineRule="auto"/>
        <w:jc w:val="center"/>
        <w:rPr>
          <w:rFonts w:hint="eastAsia"/>
          <w:b/>
          <w:bCs/>
          <w:sz w:val="48"/>
          <w:szCs w:val="48"/>
        </w:rPr>
      </w:pPr>
      <w:r>
        <w:rPr>
          <w:rFonts w:hint="eastAsia"/>
          <w:b/>
          <w:bCs/>
          <w:sz w:val="48"/>
          <w:szCs w:val="48"/>
        </w:rPr>
        <w:t>/其他响应文件</w:t>
      </w:r>
    </w:p>
    <w:p w14:paraId="374870CD">
      <w:pPr>
        <w:pStyle w:val="42"/>
        <w:rPr>
          <w:rFonts w:hint="eastAsia"/>
        </w:rPr>
      </w:pPr>
    </w:p>
    <w:p w14:paraId="22D012BB">
      <w:pPr>
        <w:pStyle w:val="42"/>
        <w:spacing w:line="480" w:lineRule="auto"/>
        <w:ind w:left="2100" w:leftChars="1000"/>
        <w:rPr>
          <w:rFonts w:hint="eastAsia"/>
          <w:b/>
          <w:bCs/>
          <w:sz w:val="32"/>
          <w:szCs w:val="32"/>
        </w:rPr>
      </w:pPr>
    </w:p>
    <w:p w14:paraId="581A4F0F">
      <w:pPr>
        <w:pStyle w:val="42"/>
        <w:spacing w:line="480" w:lineRule="auto"/>
        <w:ind w:left="2100" w:leftChars="1000"/>
        <w:rPr>
          <w:rFonts w:hint="eastAsia"/>
          <w:b/>
          <w:bCs/>
          <w:sz w:val="32"/>
          <w:szCs w:val="32"/>
        </w:rPr>
      </w:pPr>
    </w:p>
    <w:p w14:paraId="721A8B0A">
      <w:pPr>
        <w:pStyle w:val="42"/>
        <w:spacing w:line="480" w:lineRule="auto"/>
        <w:ind w:left="2100" w:leftChars="1000"/>
        <w:rPr>
          <w:rFonts w:hint="eastAsia"/>
          <w:b/>
          <w:bCs/>
          <w:sz w:val="32"/>
          <w:szCs w:val="32"/>
        </w:rPr>
      </w:pPr>
    </w:p>
    <w:p w14:paraId="6F806543">
      <w:pPr>
        <w:pStyle w:val="42"/>
        <w:spacing w:line="480" w:lineRule="auto"/>
        <w:ind w:left="2100" w:leftChars="1000"/>
        <w:rPr>
          <w:rFonts w:hint="eastAsia"/>
          <w:b/>
          <w:bCs/>
          <w:sz w:val="32"/>
          <w:szCs w:val="32"/>
        </w:rPr>
      </w:pPr>
    </w:p>
    <w:p w14:paraId="51FBFC88">
      <w:pPr>
        <w:pStyle w:val="42"/>
        <w:spacing w:line="480" w:lineRule="auto"/>
        <w:rPr>
          <w:rFonts w:hint="eastAsia"/>
          <w:b/>
          <w:bCs/>
          <w:sz w:val="32"/>
          <w:szCs w:val="32"/>
        </w:rPr>
      </w:pPr>
      <w:r>
        <w:rPr>
          <w:rFonts w:hint="eastAsia"/>
          <w:b/>
          <w:bCs/>
          <w:sz w:val="32"/>
          <w:szCs w:val="32"/>
        </w:rPr>
        <w:t>项目名称：</w:t>
      </w:r>
    </w:p>
    <w:p w14:paraId="63AFA1B8">
      <w:pPr>
        <w:pStyle w:val="42"/>
        <w:spacing w:line="480" w:lineRule="auto"/>
        <w:rPr>
          <w:rFonts w:hint="eastAsia"/>
          <w:b/>
          <w:bCs/>
          <w:sz w:val="32"/>
          <w:szCs w:val="32"/>
        </w:rPr>
      </w:pPr>
      <w:r>
        <w:rPr>
          <w:rFonts w:hint="eastAsia"/>
          <w:b/>
          <w:bCs/>
          <w:sz w:val="32"/>
          <w:szCs w:val="32"/>
        </w:rPr>
        <w:t>项目编号：</w:t>
      </w:r>
    </w:p>
    <w:p w14:paraId="1A5C7481">
      <w:pPr>
        <w:pStyle w:val="42"/>
        <w:spacing w:line="480" w:lineRule="auto"/>
        <w:rPr>
          <w:rFonts w:hint="eastAsia"/>
          <w:b/>
          <w:bCs/>
          <w:sz w:val="32"/>
          <w:szCs w:val="32"/>
        </w:rPr>
      </w:pPr>
      <w:r>
        <w:rPr>
          <w:rFonts w:hint="eastAsia"/>
          <w:b/>
          <w:bCs/>
          <w:sz w:val="32"/>
          <w:szCs w:val="32"/>
        </w:rPr>
        <w:t>供应商名称：</w:t>
      </w:r>
    </w:p>
    <w:p w14:paraId="62F88A68">
      <w:pPr>
        <w:pStyle w:val="42"/>
        <w:spacing w:line="480" w:lineRule="auto"/>
        <w:rPr>
          <w:rFonts w:hint="eastAsia"/>
          <w:b/>
          <w:bCs/>
          <w:sz w:val="32"/>
          <w:szCs w:val="32"/>
        </w:rPr>
      </w:pPr>
      <w:r>
        <w:rPr>
          <w:rFonts w:hint="eastAsia"/>
          <w:b/>
          <w:bCs/>
          <w:sz w:val="32"/>
          <w:szCs w:val="32"/>
        </w:rPr>
        <w:t>日期：</w:t>
      </w:r>
      <w:r>
        <w:rPr>
          <w:rFonts w:hint="eastAsia"/>
          <w:b/>
          <w:bCs/>
          <w:sz w:val="32"/>
          <w:szCs w:val="32"/>
          <w:lang w:val="en-US" w:eastAsia="zh-CN"/>
        </w:rPr>
        <w:t xml:space="preserve">  </w:t>
      </w:r>
      <w:r>
        <w:rPr>
          <w:rFonts w:hint="eastAsia"/>
          <w:b/>
          <w:bCs/>
          <w:sz w:val="32"/>
          <w:szCs w:val="32"/>
        </w:rPr>
        <w:t>年</w:t>
      </w:r>
      <w:r>
        <w:rPr>
          <w:rFonts w:hint="eastAsia"/>
          <w:b/>
          <w:bCs/>
          <w:sz w:val="32"/>
          <w:szCs w:val="32"/>
          <w:lang w:val="en-US" w:eastAsia="zh-CN"/>
        </w:rPr>
        <w:t xml:space="preserve">    </w:t>
      </w:r>
      <w:r>
        <w:rPr>
          <w:rFonts w:hint="eastAsia"/>
          <w:b/>
          <w:bCs/>
          <w:sz w:val="32"/>
          <w:szCs w:val="32"/>
        </w:rPr>
        <w:t>月</w:t>
      </w:r>
      <w:r>
        <w:rPr>
          <w:rFonts w:hint="eastAsia"/>
          <w:b/>
          <w:bCs/>
          <w:sz w:val="32"/>
          <w:szCs w:val="32"/>
          <w:lang w:val="en-US" w:eastAsia="zh-CN"/>
        </w:rPr>
        <w:t xml:space="preserve">    </w:t>
      </w:r>
      <w:r>
        <w:rPr>
          <w:rFonts w:hint="eastAsia"/>
          <w:b/>
          <w:bCs/>
          <w:sz w:val="32"/>
          <w:szCs w:val="32"/>
        </w:rPr>
        <w:t>日</w:t>
      </w:r>
    </w:p>
    <w:p w14:paraId="1F0ABCA1">
      <w:pPr>
        <w:pStyle w:val="38"/>
        <w:rPr>
          <w:rFonts w:hint="eastAsia"/>
        </w:rPr>
      </w:pPr>
      <w:bookmarkStart w:id="105" w:name="_Toc5565"/>
      <w:bookmarkStart w:id="106" w:name="_Toc5306"/>
      <w:bookmarkStart w:id="107" w:name="_Toc31011"/>
      <w:bookmarkStart w:id="108" w:name="_Toc11556"/>
      <w:r>
        <w:rPr>
          <w:rFonts w:hint="eastAsia"/>
        </w:rPr>
        <w:br w:type="page"/>
      </w:r>
    </w:p>
    <w:bookmarkEnd w:id="105"/>
    <w:bookmarkEnd w:id="106"/>
    <w:bookmarkEnd w:id="107"/>
    <w:bookmarkEnd w:id="108"/>
    <w:p w14:paraId="3E30B926">
      <w:pPr>
        <w:pStyle w:val="38"/>
        <w:rPr>
          <w:rFonts w:hint="eastAsia"/>
        </w:rPr>
      </w:pPr>
      <w:bookmarkStart w:id="109" w:name="_Toc15611"/>
    </w:p>
    <w:p w14:paraId="56B2FAA4">
      <w:pPr>
        <w:pStyle w:val="38"/>
        <w:rPr>
          <w:rFonts w:hint="eastAsia"/>
        </w:rPr>
      </w:pPr>
    </w:p>
    <w:p w14:paraId="4254F969">
      <w:pPr>
        <w:pStyle w:val="38"/>
        <w:rPr>
          <w:rFonts w:hint="eastAsia"/>
        </w:rPr>
      </w:pPr>
    </w:p>
    <w:p w14:paraId="17E56322">
      <w:pPr>
        <w:pStyle w:val="38"/>
        <w:rPr>
          <w:rFonts w:hint="eastAsia"/>
        </w:rPr>
      </w:pPr>
    </w:p>
    <w:p w14:paraId="62F97083">
      <w:pPr>
        <w:pStyle w:val="38"/>
        <w:rPr>
          <w:rFonts w:hint="eastAsia"/>
        </w:rPr>
      </w:pPr>
    </w:p>
    <w:p w14:paraId="45F45FCD">
      <w:pPr>
        <w:pStyle w:val="38"/>
        <w:rPr>
          <w:rFonts w:hint="eastAsia"/>
        </w:rPr>
      </w:pPr>
    </w:p>
    <w:p w14:paraId="352F44A3">
      <w:pPr>
        <w:pStyle w:val="38"/>
        <w:rPr>
          <w:rFonts w:hint="eastAsia"/>
        </w:rPr>
      </w:pPr>
    </w:p>
    <w:p w14:paraId="6373B9FF">
      <w:pPr>
        <w:pStyle w:val="38"/>
        <w:rPr>
          <w:rFonts w:hint="eastAsia"/>
        </w:rPr>
      </w:pPr>
      <w:bookmarkStart w:id="110" w:name="_Toc24630"/>
    </w:p>
    <w:p w14:paraId="13D4006B">
      <w:pPr>
        <w:pStyle w:val="38"/>
        <w:rPr>
          <w:rFonts w:hint="eastAsia"/>
        </w:rPr>
      </w:pPr>
    </w:p>
    <w:p w14:paraId="6AA487C5">
      <w:pPr>
        <w:pStyle w:val="38"/>
        <w:rPr>
          <w:rFonts w:hint="eastAsia"/>
        </w:rPr>
      </w:pPr>
    </w:p>
    <w:p w14:paraId="51349D85">
      <w:pPr>
        <w:pStyle w:val="38"/>
        <w:rPr>
          <w:rFonts w:hint="eastAsia"/>
        </w:rPr>
      </w:pPr>
    </w:p>
    <w:p w14:paraId="1A058624">
      <w:pPr>
        <w:pStyle w:val="38"/>
        <w:rPr>
          <w:rFonts w:hint="eastAsia"/>
        </w:rPr>
      </w:pPr>
    </w:p>
    <w:p w14:paraId="7C8A3749">
      <w:pPr>
        <w:pStyle w:val="37"/>
        <w:numPr>
          <w:ilvl w:val="1"/>
          <w:numId w:val="0"/>
        </w:numPr>
        <w:tabs>
          <w:tab w:val="left" w:pos="0"/>
        </w:tabs>
        <w:spacing w:before="480" w:beforeLines="200"/>
        <w:jc w:val="center"/>
        <w:rPr>
          <w:rFonts w:hint="eastAsia"/>
          <w:sz w:val="32"/>
          <w:szCs w:val="32"/>
        </w:rPr>
      </w:pPr>
      <w:bookmarkStart w:id="111" w:name="_Toc32506"/>
      <w:r>
        <w:rPr>
          <w:rFonts w:hint="eastAsia"/>
          <w:sz w:val="32"/>
          <w:szCs w:val="32"/>
        </w:rPr>
        <w:t>第一部分资格性响应文件(格式)</w:t>
      </w:r>
      <w:bookmarkEnd w:id="109"/>
      <w:bookmarkEnd w:id="110"/>
      <w:bookmarkEnd w:id="111"/>
      <w:bookmarkStart w:id="112" w:name="_Toc23537"/>
      <w:bookmarkStart w:id="113" w:name="_Toc16168"/>
    </w:p>
    <w:p w14:paraId="5B06B13A">
      <w:pPr>
        <w:pStyle w:val="38"/>
        <w:jc w:val="center"/>
        <w:outlineLvl w:val="2"/>
        <w:rPr>
          <w:rFonts w:hint="eastAsia"/>
        </w:rPr>
      </w:pPr>
      <w:r>
        <w:rPr>
          <w:rFonts w:hint="eastAsia"/>
        </w:rPr>
        <w:br w:type="page"/>
      </w:r>
      <w:bookmarkEnd w:id="112"/>
      <w:bookmarkEnd w:id="113"/>
      <w:bookmarkStart w:id="114" w:name="_Toc4996"/>
      <w:bookmarkStart w:id="115" w:name="_Toc26837"/>
      <w:bookmarkStart w:id="116" w:name="_Toc29205"/>
      <w:bookmarkStart w:id="117" w:name="_Toc29937"/>
      <w:bookmarkStart w:id="118" w:name="_Toc635"/>
      <w:bookmarkStart w:id="119" w:name="_Toc28024"/>
      <w:bookmarkStart w:id="120" w:name="_Toc14566"/>
      <w:r>
        <w:rPr>
          <w:rFonts w:hint="eastAsia"/>
          <w:b/>
          <w:sz w:val="28"/>
        </w:rPr>
        <w:t>一、法定代表人/单位负责人授权书</w:t>
      </w:r>
      <w:bookmarkEnd w:id="114"/>
      <w:bookmarkEnd w:id="115"/>
      <w:bookmarkEnd w:id="116"/>
    </w:p>
    <w:p w14:paraId="6D5EA78C">
      <w:pPr>
        <w:pStyle w:val="38"/>
        <w:keepNext w:val="0"/>
        <w:keepLines w:val="0"/>
        <w:pageBreakBefore w:val="0"/>
        <w:widowControl w:val="0"/>
        <w:kinsoku/>
        <w:wordWrap w:val="0"/>
        <w:overflowPunct/>
        <w:topLinePunct/>
        <w:autoSpaceDE/>
        <w:autoSpaceDN/>
        <w:bidi w:val="0"/>
        <w:adjustRightInd w:val="0"/>
        <w:snapToGrid w:val="0"/>
        <w:spacing w:line="560" w:lineRule="exact"/>
        <w:textAlignment w:val="auto"/>
        <w:rPr>
          <w:rFonts w:hint="eastAsia"/>
        </w:rPr>
      </w:pPr>
      <w:r>
        <w:rPr>
          <w:rFonts w:hint="eastAsia" w:cs="宋体"/>
          <w:b w:val="0"/>
          <w:bCs w:val="0"/>
          <w:szCs w:val="24"/>
          <w:u w:val="none"/>
          <w:lang w:eastAsia="zh-CN"/>
        </w:rPr>
        <w:t>汉源县中医医院</w:t>
      </w:r>
      <w:r>
        <w:rPr>
          <w:rFonts w:hint="eastAsia"/>
        </w:rPr>
        <w:t>：</w:t>
      </w:r>
    </w:p>
    <w:p w14:paraId="3CABDA70">
      <w:pPr>
        <w:pStyle w:val="39"/>
        <w:keepNext w:val="0"/>
        <w:keepLines w:val="0"/>
        <w:pageBreakBefore w:val="0"/>
        <w:widowControl w:val="0"/>
        <w:kinsoku/>
        <w:wordWrap w:val="0"/>
        <w:overflowPunct/>
        <w:topLinePunct/>
        <w:autoSpaceDE/>
        <w:autoSpaceDN/>
        <w:bidi w:val="0"/>
        <w:adjustRightInd w:val="0"/>
        <w:snapToGrid w:val="0"/>
        <w:spacing w:line="560" w:lineRule="exact"/>
        <w:ind w:left="0" w:leftChars="0" w:firstLine="630" w:firstLineChars="300"/>
        <w:textAlignment w:val="auto"/>
        <w:rPr>
          <w:rFonts w:hint="eastAsia"/>
        </w:rPr>
      </w:pPr>
      <w:r>
        <w:rPr>
          <w:rFonts w:hint="eastAsia"/>
        </w:rPr>
        <w:t>本授权声明：</w:t>
      </w:r>
      <w:r>
        <w:rPr>
          <w:rFonts w:hint="eastAsia"/>
          <w:b/>
          <w:bCs/>
          <w:lang w:val="en-US" w:eastAsia="zh-CN"/>
        </w:rPr>
        <w:t xml:space="preserve"> </w:t>
      </w:r>
      <w:r>
        <w:rPr>
          <w:rFonts w:hint="eastAsia"/>
          <w:u w:val="single"/>
          <w:lang w:val="en-US" w:eastAsia="zh-CN"/>
        </w:rPr>
        <w:t xml:space="preserve">       </w:t>
      </w:r>
      <w:r>
        <w:rPr>
          <w:rFonts w:hint="eastAsia"/>
        </w:rPr>
        <w:t>(供应商名称)</w:t>
      </w:r>
      <w:r>
        <w:rPr>
          <w:rFonts w:hint="eastAsia"/>
          <w:u w:val="single"/>
          <w:lang w:val="en-US" w:eastAsia="zh-CN"/>
        </w:rPr>
        <w:t xml:space="preserve">        </w:t>
      </w:r>
      <w:r>
        <w:rPr>
          <w:rFonts w:hint="eastAsia"/>
        </w:rPr>
        <w:t>(法定代表人/单位负责人姓名、职务)授权</w:t>
      </w:r>
      <w:r>
        <w:rPr>
          <w:rFonts w:hint="eastAsia"/>
          <w:u w:val="single"/>
          <w:lang w:val="en-US" w:eastAsia="zh-CN"/>
        </w:rPr>
        <w:t xml:space="preserve">      </w:t>
      </w:r>
      <w:r>
        <w:rPr>
          <w:rFonts w:hint="eastAsia"/>
        </w:rPr>
        <w:t>(被授权人姓名、职务、身份证号码)为我方参加“(项目名称</w:t>
      </w:r>
      <w:r>
        <w:rPr>
          <w:rFonts w:hint="eastAsia"/>
          <w:u w:val="single"/>
          <w:lang w:val="en-US" w:eastAsia="zh-CN"/>
        </w:rPr>
        <w:t xml:space="preserve">       </w:t>
      </w:r>
      <w:r>
        <w:rPr>
          <w:rFonts w:hint="eastAsia"/>
        </w:rPr>
        <w:t>)(项目编号：</w:t>
      </w:r>
      <w:r>
        <w:rPr>
          <w:rFonts w:hint="eastAsia"/>
          <w:u w:val="single"/>
          <w:lang w:val="en-US" w:eastAsia="zh-CN"/>
        </w:rPr>
        <w:t xml:space="preserve">     </w:t>
      </w:r>
      <w:r>
        <w:rPr>
          <w:rFonts w:hint="eastAsia"/>
        </w:rPr>
        <w:t>)”采购活动的合法代表，以我方名义全权处理参与该项目采购活动、合同签订以及合同履约中的一切事宜，我单位均予承认，所产生的法律后果均由我单位承担。</w:t>
      </w:r>
    </w:p>
    <w:p w14:paraId="46C94A87">
      <w:pPr>
        <w:pStyle w:val="39"/>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rPr>
      </w:pPr>
      <w:r>
        <w:rPr>
          <w:rFonts w:hint="eastAsia"/>
        </w:rPr>
        <w:t>特此声明。</w:t>
      </w:r>
    </w:p>
    <w:p w14:paraId="60C55D85">
      <w:pPr>
        <w:pStyle w:val="38"/>
        <w:rPr>
          <w:rFonts w:hint="eastAsia"/>
        </w:rPr>
      </w:pPr>
    </w:p>
    <w:p w14:paraId="48AD7AF3">
      <w:pPr>
        <w:pStyle w:val="38"/>
        <w:rPr>
          <w:rFonts w:hint="eastAsia"/>
        </w:rPr>
      </w:pPr>
    </w:p>
    <w:p w14:paraId="21E3BCC7">
      <w:pPr>
        <w:pStyle w:val="38"/>
        <w:rPr>
          <w:rFonts w:hint="eastAsia"/>
        </w:rPr>
      </w:pPr>
    </w:p>
    <w:p w14:paraId="35AD8ECD">
      <w:pPr>
        <w:pStyle w:val="38"/>
        <w:rPr>
          <w:rFonts w:hint="eastAsia"/>
        </w:rPr>
      </w:pPr>
    </w:p>
    <w:p w14:paraId="3A9F2646">
      <w:pPr>
        <w:pStyle w:val="38"/>
        <w:rPr>
          <w:rFonts w:hint="eastAsia"/>
        </w:rPr>
      </w:pPr>
    </w:p>
    <w:p w14:paraId="5FDDF457">
      <w:pPr>
        <w:pStyle w:val="38"/>
        <w:rPr>
          <w:rFonts w:hint="eastAsia"/>
        </w:rPr>
      </w:pPr>
    </w:p>
    <w:p w14:paraId="0252D7C5">
      <w:pPr>
        <w:pStyle w:val="38"/>
        <w:rPr>
          <w:rFonts w:hint="eastAsia"/>
        </w:rPr>
      </w:pPr>
    </w:p>
    <w:p w14:paraId="2196C796">
      <w:pPr>
        <w:pStyle w:val="39"/>
        <w:rPr>
          <w:rFonts w:hint="eastAsia"/>
        </w:rPr>
      </w:pPr>
      <w:r>
        <w:rPr>
          <w:rFonts w:hint="eastAsia"/>
        </w:rPr>
        <w:t>法定代表人/单位负责人：(签字或盖章)</w:t>
      </w:r>
    </w:p>
    <w:p w14:paraId="532A75BA">
      <w:pPr>
        <w:pStyle w:val="39"/>
        <w:rPr>
          <w:rFonts w:hint="eastAsia"/>
        </w:rPr>
      </w:pPr>
      <w:r>
        <w:rPr>
          <w:rFonts w:hint="eastAsia"/>
        </w:rPr>
        <w:t>授权代表：(签字或盖章)</w:t>
      </w:r>
    </w:p>
    <w:p w14:paraId="5222045C">
      <w:pPr>
        <w:pStyle w:val="39"/>
        <w:rPr>
          <w:rFonts w:hint="eastAsia"/>
        </w:rPr>
      </w:pPr>
      <w:r>
        <w:rPr>
          <w:rFonts w:hint="eastAsia"/>
        </w:rPr>
        <w:t>供应商名称：(盖章)</w:t>
      </w:r>
    </w:p>
    <w:p w14:paraId="31A81CDA">
      <w:pPr>
        <w:pStyle w:val="39"/>
        <w:rPr>
          <w:rFonts w:hint="eastAsia"/>
        </w:rPr>
      </w:pPr>
      <w:r>
        <w:rPr>
          <w:rFonts w:hint="eastAsia"/>
        </w:rPr>
        <w:t>日期：</w:t>
      </w:r>
    </w:p>
    <w:p w14:paraId="2F7BEED3">
      <w:pPr>
        <w:pStyle w:val="38"/>
        <w:rPr>
          <w:rFonts w:hint="eastAsia"/>
        </w:rPr>
      </w:pPr>
    </w:p>
    <w:p w14:paraId="4A0DE1BA">
      <w:pPr>
        <w:pStyle w:val="43"/>
        <w:ind w:firstLine="482"/>
        <w:rPr>
          <w:rFonts w:hint="eastAsia"/>
        </w:rPr>
      </w:pPr>
      <w:r>
        <w:rPr>
          <w:rFonts w:hint="eastAsia"/>
        </w:rPr>
        <w:t>注：1.法定代表人/单位负责人不亲自参加磋商，而授权代表参加磋商的适用。</w:t>
      </w:r>
    </w:p>
    <w:p w14:paraId="0BF6FD8C">
      <w:pPr>
        <w:pStyle w:val="43"/>
        <w:ind w:firstLine="482"/>
      </w:pPr>
      <w:r>
        <w:rPr>
          <w:rFonts w:hint="eastAsia"/>
        </w:rPr>
        <w:t>2.</w:t>
      </w:r>
      <w:r>
        <w:t>供应商为法人单位时提供“法定代表人授权书”，供应商为其他组织时提供“单位负责人授权书”，供应商为自然人时提供“自然人身份证明材料”。</w:t>
      </w:r>
    </w:p>
    <w:p w14:paraId="117F4F00">
      <w:pPr>
        <w:pStyle w:val="43"/>
        <w:ind w:firstLine="482"/>
      </w:pPr>
      <w:r>
        <w:rPr>
          <w:rFonts w:hint="eastAsia"/>
        </w:rPr>
        <w:t>3.</w:t>
      </w:r>
      <w:r>
        <w:t>应附法定代表人/单位负责人身份证明材料复印件和授权代表身份证明材料复印件。</w:t>
      </w:r>
    </w:p>
    <w:p w14:paraId="22575410">
      <w:pPr>
        <w:pStyle w:val="43"/>
        <w:ind w:firstLine="482"/>
      </w:pPr>
      <w:r>
        <w:rPr>
          <w:rFonts w:hint="eastAsia"/>
        </w:rPr>
        <w:t>4.</w:t>
      </w:r>
      <w:r>
        <w:t>身份证明材料包括居民身份证或户口本或军官证或护照等。</w:t>
      </w:r>
    </w:p>
    <w:p w14:paraId="6FA5B556">
      <w:pPr>
        <w:pStyle w:val="43"/>
        <w:ind w:firstLine="482"/>
        <w:rPr>
          <w:rFonts w:hint="eastAsia"/>
        </w:rPr>
      </w:pPr>
      <w:r>
        <w:rPr>
          <w:rFonts w:hint="eastAsia"/>
        </w:rPr>
        <w:t>5.</w:t>
      </w:r>
      <w:r>
        <w:t>身份证明材料应同时提供其在有效期的材料，如居民身份证正、反面复印件</w:t>
      </w:r>
      <w:r>
        <w:rPr>
          <w:rFonts w:hint="eastAsia"/>
        </w:rPr>
        <w:t>。</w:t>
      </w:r>
    </w:p>
    <w:p w14:paraId="6FD9EACE">
      <w:pPr>
        <w:pStyle w:val="38"/>
        <w:jc w:val="center"/>
        <w:outlineLvl w:val="2"/>
        <w:rPr>
          <w:rFonts w:hint="eastAsia"/>
        </w:rPr>
      </w:pPr>
      <w:r>
        <w:rPr>
          <w:rFonts w:hint="eastAsia"/>
        </w:rPr>
        <w:br w:type="page"/>
      </w:r>
      <w:bookmarkStart w:id="121" w:name="_Toc9688"/>
      <w:bookmarkStart w:id="122" w:name="_Toc22140"/>
      <w:bookmarkStart w:id="123" w:name="_Toc209"/>
      <w:bookmarkStart w:id="124" w:name="_Toc5501"/>
      <w:bookmarkStart w:id="125" w:name="_Toc9243"/>
    </w:p>
    <w:p w14:paraId="2FA80413">
      <w:pPr>
        <w:pStyle w:val="38"/>
        <w:jc w:val="center"/>
        <w:outlineLvl w:val="2"/>
        <w:rPr>
          <w:rFonts w:hint="eastAsia"/>
        </w:rPr>
      </w:pPr>
      <w:r>
        <w:rPr>
          <w:rFonts w:hint="eastAsia"/>
          <w:b/>
          <w:sz w:val="28"/>
        </w:rPr>
        <w:t>二、法定代表人/单位负责人证明书</w:t>
      </w:r>
      <w:bookmarkEnd w:id="121"/>
      <w:bookmarkEnd w:id="122"/>
      <w:bookmarkEnd w:id="123"/>
      <w:bookmarkEnd w:id="124"/>
      <w:bookmarkEnd w:id="125"/>
    </w:p>
    <w:p w14:paraId="49125854">
      <w:pPr>
        <w:pStyle w:val="39"/>
        <w:rPr>
          <w:rFonts w:hint="eastAsia"/>
        </w:rPr>
      </w:pPr>
      <w:r>
        <w:rPr>
          <w:rFonts w:hint="eastAsia"/>
        </w:rPr>
        <w:t>单位名称：</w:t>
      </w:r>
    </w:p>
    <w:p w14:paraId="367E560B">
      <w:pPr>
        <w:pStyle w:val="39"/>
        <w:rPr>
          <w:rFonts w:hint="eastAsia"/>
        </w:rPr>
      </w:pPr>
      <w:r>
        <w:rPr>
          <w:rFonts w:hint="eastAsia"/>
        </w:rPr>
        <w:t>地址：</w:t>
      </w:r>
    </w:p>
    <w:p w14:paraId="559B4D75">
      <w:pPr>
        <w:pStyle w:val="39"/>
        <w:rPr>
          <w:rFonts w:hint="eastAsia"/>
        </w:rPr>
      </w:pPr>
      <w:r>
        <w:rPr>
          <w:rFonts w:hint="eastAsia"/>
        </w:rPr>
        <w:t>姓名：</w:t>
      </w:r>
      <w:r>
        <w:rPr>
          <w:rFonts w:hint="eastAsia"/>
          <w:lang w:val="en-US" w:eastAsia="zh-CN"/>
        </w:rPr>
        <w:t xml:space="preserve">      </w:t>
      </w:r>
      <w:r>
        <w:rPr>
          <w:rFonts w:hint="eastAsia" w:cs="宋体"/>
          <w:szCs w:val="24"/>
        </w:rPr>
        <w:t>性别：</w:t>
      </w:r>
      <w:r>
        <w:rPr>
          <w:rFonts w:hint="eastAsia" w:cs="宋体"/>
          <w:szCs w:val="24"/>
          <w:lang w:val="en-US" w:eastAsia="zh-CN"/>
        </w:rPr>
        <w:t xml:space="preserve">     </w:t>
      </w:r>
      <w:r>
        <w:rPr>
          <w:rFonts w:hint="eastAsia" w:cs="宋体"/>
          <w:szCs w:val="24"/>
        </w:rPr>
        <w:t>年龄：</w:t>
      </w:r>
      <w:r>
        <w:rPr>
          <w:rFonts w:hint="eastAsia" w:cs="宋体"/>
          <w:szCs w:val="24"/>
          <w:lang w:val="en-US" w:eastAsia="zh-CN"/>
        </w:rPr>
        <w:t xml:space="preserve">    </w:t>
      </w:r>
      <w:r>
        <w:rPr>
          <w:rFonts w:hint="eastAsia" w:cs="宋体"/>
          <w:szCs w:val="24"/>
        </w:rPr>
        <w:t>职务：</w:t>
      </w:r>
    </w:p>
    <w:p w14:paraId="76682E90">
      <w:pPr>
        <w:pStyle w:val="39"/>
        <w:rPr>
          <w:rFonts w:hint="eastAsia"/>
        </w:rPr>
      </w:pPr>
      <w:r>
        <w:rPr>
          <w:rFonts w:hint="eastAsia"/>
        </w:rPr>
        <w:t>本人系(供应商名称)的法定代表人/单位负责人。就参加你单位组织的“(项目名称</w:t>
      </w:r>
      <w:r>
        <w:rPr>
          <w:rFonts w:hint="eastAsia"/>
          <w:u w:val="single"/>
          <w:lang w:val="en-US" w:eastAsia="zh-CN"/>
        </w:rPr>
        <w:t xml:space="preserve">          </w:t>
      </w:r>
      <w:r>
        <w:rPr>
          <w:rFonts w:hint="eastAsia"/>
          <w:lang w:val="en-US" w:eastAsia="zh-CN"/>
        </w:rPr>
        <w:t xml:space="preserve"> </w:t>
      </w:r>
      <w:r>
        <w:rPr>
          <w:rFonts w:hint="eastAsia"/>
        </w:rPr>
        <w:t>)(项目编号：</w:t>
      </w:r>
      <w:r>
        <w:rPr>
          <w:rFonts w:hint="eastAsia"/>
          <w:u w:val="single"/>
          <w:lang w:val="en-US" w:eastAsia="zh-CN"/>
        </w:rPr>
        <w:t xml:space="preserve">      </w:t>
      </w:r>
      <w:r>
        <w:rPr>
          <w:rFonts w:hint="eastAsia"/>
          <w:lang w:val="en-US" w:eastAsia="zh-CN"/>
        </w:rPr>
        <w:t xml:space="preserve"> </w:t>
      </w:r>
      <w:r>
        <w:rPr>
          <w:rFonts w:hint="eastAsia"/>
        </w:rPr>
        <w:t>)”采购活动、合同签订以及合同履约等一切事宜，我单位均予承认，所产生的法律后果均由我单位承担。</w:t>
      </w:r>
    </w:p>
    <w:p w14:paraId="4994DCFB">
      <w:pPr>
        <w:pStyle w:val="39"/>
        <w:rPr>
          <w:rFonts w:hint="eastAsia"/>
        </w:rPr>
      </w:pPr>
      <w:r>
        <w:rPr>
          <w:rFonts w:hint="eastAsia"/>
        </w:rPr>
        <w:t>特此证明。</w:t>
      </w:r>
    </w:p>
    <w:p w14:paraId="3B47C1E2">
      <w:pPr>
        <w:pStyle w:val="38"/>
        <w:rPr>
          <w:rFonts w:hint="eastAsia"/>
        </w:rPr>
      </w:pPr>
    </w:p>
    <w:p w14:paraId="3E25234C">
      <w:pPr>
        <w:pStyle w:val="38"/>
        <w:rPr>
          <w:rFonts w:hint="eastAsia"/>
        </w:rPr>
      </w:pPr>
    </w:p>
    <w:p w14:paraId="17487DD3">
      <w:pPr>
        <w:pStyle w:val="38"/>
        <w:rPr>
          <w:rFonts w:hint="eastAsia"/>
        </w:rPr>
      </w:pPr>
    </w:p>
    <w:p w14:paraId="5357A40A">
      <w:pPr>
        <w:pStyle w:val="38"/>
        <w:rPr>
          <w:rFonts w:hint="eastAsia"/>
        </w:rPr>
      </w:pPr>
    </w:p>
    <w:p w14:paraId="7E301C83">
      <w:pPr>
        <w:pStyle w:val="38"/>
        <w:rPr>
          <w:rFonts w:hint="eastAsia"/>
        </w:rPr>
      </w:pPr>
    </w:p>
    <w:p w14:paraId="3455EBFA">
      <w:pPr>
        <w:pStyle w:val="39"/>
        <w:rPr>
          <w:rFonts w:hint="eastAsia"/>
        </w:rPr>
      </w:pPr>
      <w:r>
        <w:rPr>
          <w:rFonts w:hint="eastAsia"/>
        </w:rPr>
        <w:t>供应商名称：(盖章)</w:t>
      </w:r>
    </w:p>
    <w:p w14:paraId="072BB4DE">
      <w:pPr>
        <w:pStyle w:val="39"/>
        <w:rPr>
          <w:rFonts w:hint="eastAsia"/>
        </w:rPr>
      </w:pPr>
      <w:r>
        <w:rPr>
          <w:rFonts w:hint="eastAsia"/>
        </w:rPr>
        <w:t>法定代表人/单位负责人：(签字或盖章)</w:t>
      </w:r>
    </w:p>
    <w:p w14:paraId="52E336EF">
      <w:pPr>
        <w:pStyle w:val="39"/>
        <w:rPr>
          <w:rFonts w:hint="eastAsia"/>
          <w:u w:val="single"/>
        </w:rPr>
      </w:pPr>
      <w:r>
        <w:rPr>
          <w:rFonts w:hint="eastAsia"/>
        </w:rPr>
        <w:t>日期：</w:t>
      </w:r>
    </w:p>
    <w:p w14:paraId="41019DD1">
      <w:pPr>
        <w:pStyle w:val="39"/>
        <w:rPr>
          <w:rFonts w:hint="eastAsia"/>
        </w:rPr>
      </w:pPr>
    </w:p>
    <w:p w14:paraId="385B0294">
      <w:pPr>
        <w:pStyle w:val="43"/>
        <w:ind w:firstLine="482"/>
        <w:rPr>
          <w:rFonts w:hint="eastAsia"/>
        </w:rPr>
      </w:pPr>
      <w:r>
        <w:rPr>
          <w:rFonts w:hint="eastAsia"/>
        </w:rPr>
        <w:t>注：1.法定代表人</w:t>
      </w:r>
      <w:r>
        <w:t>/单位负责人</w:t>
      </w:r>
      <w:r>
        <w:rPr>
          <w:rFonts w:hint="eastAsia"/>
        </w:rPr>
        <w:t>亲自参加磋商时适用本证明书。</w:t>
      </w:r>
    </w:p>
    <w:p w14:paraId="767209E9">
      <w:pPr>
        <w:pStyle w:val="43"/>
        <w:ind w:firstLine="482"/>
      </w:pPr>
      <w:r>
        <w:rPr>
          <w:rFonts w:hint="eastAsia"/>
        </w:rPr>
        <w:t>2.</w:t>
      </w:r>
      <w:r>
        <w:t>应附法定代表人/单位负责人身份证明材料复印件。</w:t>
      </w:r>
    </w:p>
    <w:p w14:paraId="50026679">
      <w:pPr>
        <w:pStyle w:val="43"/>
        <w:ind w:firstLine="482"/>
      </w:pPr>
      <w:r>
        <w:rPr>
          <w:rFonts w:hint="eastAsia"/>
        </w:rPr>
        <w:t>3.</w:t>
      </w:r>
      <w:r>
        <w:t>身份证明材料包括居民身份证或户口本或军官证或护照等。</w:t>
      </w:r>
    </w:p>
    <w:p w14:paraId="18D92636">
      <w:pPr>
        <w:pStyle w:val="43"/>
        <w:ind w:firstLine="482"/>
        <w:rPr>
          <w:rFonts w:hint="eastAsia"/>
        </w:rPr>
      </w:pPr>
      <w:r>
        <w:rPr>
          <w:rFonts w:hint="eastAsia"/>
        </w:rPr>
        <w:t>4.</w:t>
      </w:r>
      <w:r>
        <w:t>身份证明材料应同时提供其在有效期的材料，如居民身份证正、反面复印件</w:t>
      </w:r>
      <w:r>
        <w:rPr>
          <w:rFonts w:hint="eastAsia"/>
        </w:rPr>
        <w:t>。</w:t>
      </w:r>
    </w:p>
    <w:p w14:paraId="50B56F51">
      <w:pPr>
        <w:pStyle w:val="44"/>
        <w:numPr>
          <w:ilvl w:val="0"/>
          <w:numId w:val="0"/>
        </w:numPr>
        <w:spacing w:before="120" w:after="120"/>
        <w:ind w:left="960"/>
        <w:jc w:val="both"/>
        <w:rPr>
          <w:rFonts w:hint="eastAsia"/>
        </w:rPr>
      </w:pPr>
      <w:bookmarkStart w:id="126" w:name="_Toc12902"/>
      <w:bookmarkStart w:id="127" w:name="_Toc28837"/>
      <w:bookmarkStart w:id="128" w:name="_Toc22152"/>
      <w:bookmarkStart w:id="129" w:name="_Toc28397"/>
      <w:bookmarkStart w:id="130" w:name="_Toc3822"/>
      <w:r>
        <w:rPr>
          <w:rFonts w:hint="eastAsia"/>
        </w:rPr>
        <w:t>三、供应商具有独立承担民事责任的能力的证明材料</w:t>
      </w:r>
      <w:bookmarkEnd w:id="126"/>
      <w:bookmarkEnd w:id="127"/>
      <w:bookmarkEnd w:id="128"/>
    </w:p>
    <w:bookmarkEnd w:id="129"/>
    <w:p w14:paraId="0C5CABCC">
      <w:pPr>
        <w:pStyle w:val="39"/>
        <w:rPr>
          <w:rFonts w:hint="eastAsia"/>
        </w:rPr>
      </w:pPr>
      <w:r>
        <w:rPr>
          <w:rFonts w:hint="eastAsia"/>
        </w:rPr>
        <w:t>①供应商若为</w:t>
      </w:r>
      <w:r>
        <w:rPr>
          <w:rFonts w:hint="eastAsia"/>
          <w:b/>
          <w:bCs/>
        </w:rPr>
        <w:t>企业法人</w:t>
      </w:r>
      <w:r>
        <w:rPr>
          <w:rFonts w:hint="eastAsia"/>
        </w:rPr>
        <w:t>：提供“营业执照”副本复印件；未换证的提供“营业执照副本、税务登记证副本、组织机构代码证副本”复印件；②若为</w:t>
      </w:r>
      <w:r>
        <w:rPr>
          <w:rFonts w:hint="eastAsia"/>
          <w:b/>
          <w:bCs/>
        </w:rPr>
        <w:t>事业法人</w:t>
      </w:r>
      <w:r>
        <w:rPr>
          <w:rFonts w:hint="eastAsia"/>
        </w:rPr>
        <w:t>：提供“统一社会信用代码法人登记证书”复印件；未换证的提交“事业法人登记证书、组织机构代码证”复印件；③若为</w:t>
      </w:r>
      <w:r>
        <w:rPr>
          <w:rFonts w:hint="eastAsia"/>
          <w:b/>
          <w:bCs/>
        </w:rPr>
        <w:t>其他组织</w:t>
      </w:r>
      <w:r>
        <w:rPr>
          <w:rFonts w:hint="eastAsia"/>
        </w:rPr>
        <w:t>：提供“对应主管部门颁发的准许执业证明文件或营业执照副本”复印件；④若为</w:t>
      </w:r>
      <w:r>
        <w:rPr>
          <w:rFonts w:hint="eastAsia"/>
          <w:b/>
          <w:bCs/>
        </w:rPr>
        <w:t>自然人</w:t>
      </w:r>
      <w:r>
        <w:rPr>
          <w:rFonts w:hint="eastAsia"/>
        </w:rPr>
        <w:t>：提供“身份证明材料”。</w:t>
      </w:r>
    </w:p>
    <w:p w14:paraId="58FA4E33">
      <w:pPr>
        <w:pStyle w:val="43"/>
        <w:ind w:firstLine="482"/>
        <w:rPr>
          <w:rFonts w:hint="eastAsia"/>
        </w:rPr>
      </w:pPr>
      <w:r>
        <w:rPr>
          <w:rFonts w:hint="eastAsia"/>
        </w:rPr>
        <w:t>注：1.以上证明材料应满足此条要求①发证机关有年检要求的，应按规定通过年检；②在有效期内；③复印件加盖供应商公章；</w:t>
      </w:r>
    </w:p>
    <w:p w14:paraId="104B749A">
      <w:pPr>
        <w:pStyle w:val="43"/>
        <w:ind w:firstLine="482"/>
        <w:rPr>
          <w:rFonts w:hint="eastAsia"/>
        </w:rPr>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14:paraId="1BB223D8">
      <w:pPr>
        <w:pStyle w:val="43"/>
        <w:ind w:firstLine="482"/>
        <w:rPr>
          <w:rFonts w:hint="eastAsia"/>
        </w:rPr>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bookmarkEnd w:id="130"/>
    </w:p>
    <w:p w14:paraId="1873EF5C">
      <w:pPr>
        <w:pStyle w:val="38"/>
        <w:rPr>
          <w:rFonts w:hint="eastAsia"/>
        </w:rPr>
      </w:pPr>
    </w:p>
    <w:bookmarkEnd w:id="117"/>
    <w:bookmarkEnd w:id="118"/>
    <w:bookmarkEnd w:id="119"/>
    <w:bookmarkEnd w:id="120"/>
    <w:p w14:paraId="67A990D8">
      <w:pPr>
        <w:pStyle w:val="44"/>
        <w:numPr>
          <w:ilvl w:val="0"/>
          <w:numId w:val="0"/>
        </w:numPr>
        <w:spacing w:before="120" w:after="120"/>
        <w:ind w:left="960"/>
        <w:rPr>
          <w:rFonts w:hint="eastAsia"/>
        </w:rPr>
      </w:pPr>
      <w:bookmarkStart w:id="131" w:name="_Toc25320"/>
      <w:r>
        <w:rPr>
          <w:rFonts w:hint="eastAsia"/>
        </w:rPr>
        <w:t>四、供应商具有良好的商业信誉和健全的财务会计制度的证明材料</w:t>
      </w:r>
    </w:p>
    <w:p w14:paraId="11C09B9F">
      <w:pPr>
        <w:pStyle w:val="39"/>
        <w:rPr>
          <w:rFonts w:hint="eastAsia"/>
        </w:rPr>
      </w:pPr>
      <w:r>
        <w:rPr>
          <w:rFonts w:hint="eastAsia"/>
        </w:rPr>
        <w:t>1.供应商具有良好商业信誉的证明材料；</w:t>
      </w:r>
    </w:p>
    <w:p w14:paraId="7069893B">
      <w:pPr>
        <w:pStyle w:val="39"/>
        <w:rPr>
          <w:rFonts w:hint="eastAsia"/>
        </w:rPr>
      </w:pPr>
      <w:r>
        <w:rPr>
          <w:rFonts w:hint="eastAsia"/>
        </w:rPr>
        <w:t>提供具有良好的商业信誉的承诺函。</w:t>
      </w:r>
    </w:p>
    <w:p w14:paraId="607DE43C">
      <w:pPr>
        <w:pStyle w:val="39"/>
        <w:ind w:firstLine="482"/>
        <w:rPr>
          <w:rFonts w:hint="eastAsia"/>
          <w:b/>
          <w:bCs/>
        </w:rPr>
      </w:pPr>
      <w:r>
        <w:rPr>
          <w:rFonts w:hint="eastAsia"/>
          <w:b/>
          <w:bCs/>
        </w:rPr>
        <w:t>注：格式自拟，或参照《符合&lt;中华人民共和国政府采购法&gt;第二十二条规定的条件的承诺及声明函》的格式提供承诺函。</w:t>
      </w:r>
    </w:p>
    <w:p w14:paraId="68BD5639">
      <w:pPr>
        <w:pStyle w:val="39"/>
        <w:rPr>
          <w:rFonts w:hint="eastAsia"/>
        </w:rPr>
      </w:pPr>
      <w:r>
        <w:rPr>
          <w:rFonts w:hint="eastAsia"/>
        </w:rPr>
        <w:t>2.供应商具有健全的财务会计制度的证明材料；</w:t>
      </w:r>
    </w:p>
    <w:p w14:paraId="4888607C">
      <w:pPr>
        <w:tabs>
          <w:tab w:val="left" w:pos="0"/>
        </w:tabs>
        <w:wordWrap w:val="0"/>
        <w:topLinePunct/>
        <w:ind w:firstLine="420" w:firstLineChars="200"/>
        <w:rPr>
          <w:rFonts w:hint="eastAsia"/>
          <w:snapToGrid w:val="0"/>
        </w:rPr>
      </w:pPr>
      <w:r>
        <w:rPr>
          <w:rFonts w:hint="eastAsia"/>
          <w:snapToGrid w:val="0"/>
        </w:rPr>
        <w:t>(1)供应商提供上一年度经过会计师事务所审计的财务报告复印件(经审计的有效财务报告应包括报告及报告中所附的完整内容，并由注册会计师签名、盖章以及会计师事务所盖章)；</w:t>
      </w:r>
    </w:p>
    <w:p w14:paraId="7912CBA5">
      <w:pPr>
        <w:tabs>
          <w:tab w:val="left" w:pos="0"/>
        </w:tabs>
        <w:wordWrap w:val="0"/>
        <w:topLinePunct/>
        <w:ind w:firstLine="420" w:firstLineChars="200"/>
        <w:rPr>
          <w:rFonts w:hint="eastAsia"/>
          <w:snapToGrid w:val="0"/>
        </w:rPr>
      </w:pPr>
      <w:r>
        <w:rPr>
          <w:rFonts w:hint="eastAsia"/>
          <w:snapToGrid w:val="0"/>
        </w:rPr>
        <w:t>(2)供应商提供上一年度供应商内部的财务报表复印件(至少包含资产负债表)；</w:t>
      </w:r>
    </w:p>
    <w:p w14:paraId="58D128A6">
      <w:pPr>
        <w:tabs>
          <w:tab w:val="left" w:pos="0"/>
        </w:tabs>
        <w:wordWrap w:val="0"/>
        <w:topLinePunct/>
        <w:ind w:firstLine="420" w:firstLineChars="200"/>
        <w:rPr>
          <w:rFonts w:hint="eastAsia"/>
          <w:snapToGrid w:val="0"/>
        </w:rPr>
      </w:pPr>
      <w:r>
        <w:rPr>
          <w:rFonts w:hint="eastAsia"/>
          <w:snapToGrid w:val="0"/>
        </w:rPr>
        <w:t>(3)供应商提供响应文件递交截止日前一年内银行为其出具的资信证明复印件；</w:t>
      </w:r>
    </w:p>
    <w:p w14:paraId="6E8F65F6">
      <w:pPr>
        <w:tabs>
          <w:tab w:val="left" w:pos="0"/>
        </w:tabs>
        <w:wordWrap w:val="0"/>
        <w:topLinePunct/>
        <w:ind w:firstLine="420" w:firstLineChars="200"/>
        <w:rPr>
          <w:rFonts w:hint="eastAsia"/>
          <w:snapToGrid w:val="0"/>
        </w:rPr>
      </w:pPr>
      <w:r>
        <w:rPr>
          <w:rFonts w:hint="eastAsia"/>
          <w:snapToGrid w:val="0"/>
        </w:rPr>
        <w:t>(4)供应商注册时间截至响应文件递交截止日不足一年的，可提供公司章程复印件；</w:t>
      </w:r>
    </w:p>
    <w:p w14:paraId="064BA9A0">
      <w:pPr>
        <w:pStyle w:val="43"/>
        <w:rPr>
          <w:rFonts w:hint="eastAsia"/>
          <w:b w:val="0"/>
        </w:rPr>
      </w:pPr>
      <w:r>
        <w:rPr>
          <w:rFonts w:hint="eastAsia"/>
          <w:b w:val="0"/>
        </w:rPr>
        <w:t>(5)供应商可提供承诺函。</w:t>
      </w:r>
    </w:p>
    <w:p w14:paraId="6EADA2FF">
      <w:pPr>
        <w:pStyle w:val="43"/>
        <w:ind w:firstLine="482"/>
        <w:rPr>
          <w:rFonts w:hint="eastAsia"/>
        </w:rPr>
      </w:pPr>
      <w:r>
        <w:rPr>
          <w:rFonts w:hint="eastAsia"/>
          <w:bCs/>
        </w:rPr>
        <w:t>注：具有健全的财务会计制度的证明材料中第(1)-(5)项具有同等的磋商效力，供应商可根据自身实际情况选择提供其中任意一项。</w:t>
      </w:r>
    </w:p>
    <w:p w14:paraId="67A7321F">
      <w:pPr>
        <w:pStyle w:val="43"/>
        <w:ind w:firstLine="482"/>
        <w:rPr>
          <w:rFonts w:hint="eastAsia"/>
        </w:rPr>
      </w:pPr>
    </w:p>
    <w:p w14:paraId="48284651">
      <w:pPr>
        <w:pStyle w:val="44"/>
        <w:numPr>
          <w:ilvl w:val="0"/>
          <w:numId w:val="0"/>
        </w:numPr>
        <w:spacing w:before="120" w:after="120"/>
        <w:ind w:left="960"/>
        <w:jc w:val="center"/>
        <w:rPr>
          <w:rFonts w:hint="eastAsia"/>
        </w:rPr>
      </w:pPr>
      <w:bookmarkStart w:id="132" w:name="_Toc17744"/>
      <w:bookmarkStart w:id="133" w:name="_Toc10548"/>
      <w:bookmarkStart w:id="134" w:name="_Toc19866"/>
      <w:bookmarkStart w:id="135" w:name="_Toc5443"/>
      <w:r>
        <w:rPr>
          <w:rFonts w:hint="eastAsia"/>
        </w:rPr>
        <w:t>五、供应商具有依法缴纳税收和社会保障资金的良好记录的证明材料</w:t>
      </w:r>
      <w:bookmarkEnd w:id="132"/>
      <w:bookmarkEnd w:id="133"/>
      <w:bookmarkEnd w:id="134"/>
    </w:p>
    <w:bookmarkEnd w:id="135"/>
    <w:p w14:paraId="1D4FE470">
      <w:pPr>
        <w:pStyle w:val="39"/>
        <w:rPr>
          <w:rFonts w:hint="eastAsia"/>
        </w:rPr>
      </w:pPr>
      <w:r>
        <w:rPr>
          <w:rFonts w:hint="eastAsia"/>
        </w:rPr>
        <w:t>提供具有</w:t>
      </w:r>
      <w:r>
        <w:rPr>
          <w:rFonts w:hint="eastAsia"/>
          <w:lang w:val="zh-CN"/>
        </w:rPr>
        <w:t>依法缴纳税收和社会保障资金的良好记录</w:t>
      </w:r>
      <w:r>
        <w:rPr>
          <w:rFonts w:hint="eastAsia"/>
        </w:rPr>
        <w:t>的承诺函。</w:t>
      </w:r>
    </w:p>
    <w:p w14:paraId="5F6C88C6">
      <w:pPr>
        <w:pStyle w:val="43"/>
        <w:ind w:firstLine="482"/>
        <w:rPr>
          <w:rFonts w:hint="eastAsia"/>
        </w:rPr>
      </w:pPr>
      <w:r>
        <w:rPr>
          <w:rFonts w:hint="eastAsia"/>
        </w:rPr>
        <w:t>注：</w:t>
      </w:r>
      <w:r>
        <w:rPr>
          <w:rFonts w:hint="eastAsia" w:cs="宋体"/>
          <w:bCs/>
          <w:szCs w:val="24"/>
        </w:rPr>
        <w:t>格式自拟，或参照《符合&lt;中华人民共和国政府采购法&gt;第二十二条规定的条件的承诺及声明函》的格式提供承诺函</w:t>
      </w:r>
      <w:r>
        <w:rPr>
          <w:rFonts w:hint="eastAsia"/>
        </w:rPr>
        <w:t>。</w:t>
      </w:r>
    </w:p>
    <w:p w14:paraId="63D3F055">
      <w:pPr>
        <w:pStyle w:val="38"/>
        <w:jc w:val="center"/>
        <w:outlineLvl w:val="2"/>
        <w:rPr>
          <w:rFonts w:hint="eastAsia"/>
        </w:rPr>
      </w:pPr>
      <w:r>
        <w:rPr>
          <w:rFonts w:hint="eastAsia"/>
        </w:rPr>
        <w:br w:type="page"/>
      </w:r>
      <w:bookmarkStart w:id="136" w:name="_Toc24529"/>
      <w:bookmarkStart w:id="137" w:name="_Toc16336"/>
      <w:bookmarkStart w:id="138" w:name="_Toc15870"/>
      <w:r>
        <w:rPr>
          <w:rFonts w:hint="eastAsia"/>
          <w:b/>
          <w:sz w:val="28"/>
        </w:rPr>
        <w:t>六、供应商具有履行合同所必需的设备和专业技术能力证明材料</w:t>
      </w:r>
      <w:bookmarkEnd w:id="136"/>
      <w:bookmarkEnd w:id="137"/>
      <w:bookmarkEnd w:id="138"/>
    </w:p>
    <w:p w14:paraId="12190C59">
      <w:pPr>
        <w:pStyle w:val="39"/>
        <w:rPr>
          <w:rFonts w:hint="eastAsia"/>
        </w:rPr>
      </w:pPr>
    </w:p>
    <w:p w14:paraId="31C674B8">
      <w:pPr>
        <w:pStyle w:val="39"/>
        <w:rPr>
          <w:rFonts w:hint="eastAsia"/>
        </w:rPr>
      </w:pPr>
      <w:r>
        <w:rPr>
          <w:rFonts w:hint="eastAsia"/>
        </w:rPr>
        <w:t>提供具有履行合同所必需的设备和专业技术能力的承诺函。</w:t>
      </w:r>
    </w:p>
    <w:p w14:paraId="21C64A4B">
      <w:pPr>
        <w:pStyle w:val="43"/>
        <w:ind w:firstLine="482"/>
        <w:rPr>
          <w:rFonts w:hint="eastAsia"/>
        </w:rPr>
      </w:pPr>
      <w:r>
        <w:rPr>
          <w:rFonts w:hint="eastAsia"/>
        </w:rPr>
        <w:t>注：</w:t>
      </w:r>
      <w:r>
        <w:rPr>
          <w:rFonts w:hint="eastAsia" w:cs="宋体"/>
          <w:bCs/>
          <w:szCs w:val="24"/>
        </w:rPr>
        <w:t>格式自拟，或参照《符合&lt;中华人民共和国政府采购法&gt;第二十二条规定的条件的承诺及声明函》的格式提供承诺函</w:t>
      </w:r>
      <w:r>
        <w:rPr>
          <w:rFonts w:hint="eastAsia"/>
        </w:rPr>
        <w:t>。</w:t>
      </w:r>
    </w:p>
    <w:p w14:paraId="0686D97F">
      <w:pPr>
        <w:pStyle w:val="38"/>
        <w:jc w:val="center"/>
        <w:outlineLvl w:val="2"/>
        <w:rPr>
          <w:rFonts w:hint="eastAsia"/>
        </w:rPr>
      </w:pPr>
      <w:r>
        <w:rPr>
          <w:rFonts w:hint="eastAsia"/>
        </w:rPr>
        <w:br w:type="page"/>
      </w:r>
      <w:bookmarkStart w:id="139" w:name="_Toc11410"/>
      <w:bookmarkStart w:id="140" w:name="_Toc21379"/>
      <w:r>
        <w:rPr>
          <w:rFonts w:hint="eastAsia"/>
          <w:b/>
          <w:sz w:val="28"/>
        </w:rPr>
        <w:t>七、供应商参加政府采购活动前三年内，在经营活动中没有重大违法记录的证明材料</w:t>
      </w:r>
      <w:bookmarkEnd w:id="139"/>
      <w:bookmarkEnd w:id="140"/>
    </w:p>
    <w:p w14:paraId="6C3AD018">
      <w:pPr>
        <w:pStyle w:val="39"/>
        <w:rPr>
          <w:rFonts w:hint="eastAsia"/>
        </w:rPr>
      </w:pPr>
      <w:bookmarkStart w:id="141" w:name="_Toc9591"/>
      <w:bookmarkStart w:id="142" w:name="_Toc14299"/>
      <w:r>
        <w:rPr>
          <w:rFonts w:hint="eastAsia"/>
        </w:rPr>
        <w:t>提供参加本次政府采购活动前三年内，在经营活动中没有重大违法记录的书面声明(成立不足三年的，从成立之日起计算)。</w:t>
      </w:r>
    </w:p>
    <w:p w14:paraId="6BBB6B6A">
      <w:pPr>
        <w:pStyle w:val="43"/>
        <w:ind w:firstLine="482"/>
        <w:rPr>
          <w:rFonts w:hint="eastAsia"/>
        </w:rPr>
      </w:pPr>
      <w:r>
        <w:rPr>
          <w:rFonts w:hint="eastAsia"/>
        </w:rPr>
        <w:t>注：格式自拟，或参照《符合&lt;中华人民共和国政府采购法&gt;第二十二条规定的条件的承诺及声明函》的格式提供声明函。</w:t>
      </w:r>
    </w:p>
    <w:p w14:paraId="71C15F5F">
      <w:pPr>
        <w:pStyle w:val="44"/>
        <w:numPr>
          <w:ilvl w:val="0"/>
          <w:numId w:val="0"/>
        </w:numPr>
        <w:spacing w:before="120" w:after="120"/>
        <w:ind w:left="960"/>
        <w:rPr>
          <w:rFonts w:hint="eastAsia"/>
          <w:lang w:val="zh-CN"/>
        </w:rPr>
      </w:pPr>
      <w:bookmarkStart w:id="143" w:name="_Toc3840"/>
      <w:bookmarkStart w:id="144" w:name="_Toc17558"/>
      <w:bookmarkStart w:id="145" w:name="_Toc25009"/>
      <w:r>
        <w:rPr>
          <w:rFonts w:hint="eastAsia"/>
          <w:w w:val="95"/>
        </w:rPr>
        <w:t>八、供应商单位</w:t>
      </w:r>
      <w:r>
        <w:rPr>
          <w:rFonts w:hint="eastAsia"/>
          <w:w w:val="95"/>
          <w:lang w:val="zh-CN"/>
        </w:rPr>
        <w:t>及其现任法定代表人、主要负责人不得具有行贿犯罪记录</w:t>
      </w:r>
      <w:r>
        <w:rPr>
          <w:rFonts w:hint="eastAsia"/>
          <w:w w:val="95"/>
        </w:rPr>
        <w:t>的</w:t>
      </w:r>
      <w:bookmarkEnd w:id="143"/>
      <w:bookmarkEnd w:id="144"/>
      <w:r>
        <w:rPr>
          <w:rFonts w:hint="eastAsia"/>
          <w:w w:val="95"/>
        </w:rPr>
        <w:t>承诺函</w:t>
      </w:r>
      <w:bookmarkEnd w:id="145"/>
    </w:p>
    <w:bookmarkEnd w:id="141"/>
    <w:bookmarkEnd w:id="142"/>
    <w:p w14:paraId="61A50DCD">
      <w:pPr>
        <w:pStyle w:val="38"/>
        <w:rPr>
          <w:rFonts w:hint="eastAsia" w:cs="宋体"/>
        </w:rPr>
      </w:pPr>
      <w:bookmarkStart w:id="146" w:name="_Toc8455"/>
      <w:r>
        <w:rPr>
          <w:rFonts w:hint="eastAsia" w:cs="宋体"/>
          <w:lang w:eastAsia="zh-CN"/>
        </w:rPr>
        <w:t>汉源县中医医院</w:t>
      </w:r>
      <w:r>
        <w:rPr>
          <w:rFonts w:hint="eastAsia" w:cs="宋体"/>
        </w:rPr>
        <w:t>：</w:t>
      </w:r>
    </w:p>
    <w:p w14:paraId="42ED7DCD">
      <w:pPr>
        <w:pStyle w:val="38"/>
        <w:ind w:firstLine="420" w:firstLineChars="200"/>
        <w:rPr>
          <w:rFonts w:hint="eastAsia" w:cs="宋体"/>
        </w:rPr>
      </w:pPr>
      <w:r>
        <w:rPr>
          <w:rFonts w:hint="eastAsia" w:cs="宋体"/>
        </w:rPr>
        <w:t>我单位作为本次采购项目的供应商，根据磋商文件要求，现郑重承诺如下：</w:t>
      </w:r>
    </w:p>
    <w:p w14:paraId="1599AC67">
      <w:pPr>
        <w:pStyle w:val="39"/>
        <w:ind w:firstLine="630" w:firstLineChars="300"/>
        <w:rPr>
          <w:rFonts w:hint="eastAsia" w:cs="宋体"/>
        </w:rPr>
      </w:pPr>
      <w:r>
        <w:rPr>
          <w:rFonts w:hint="eastAsia" w:cs="宋体"/>
        </w:rPr>
        <w:t>(供应商名称)及其现任法定代表人</w:t>
      </w:r>
      <w:r>
        <w:rPr>
          <w:rFonts w:hint="eastAsia" w:cs="宋体"/>
          <w:lang w:val="en-US" w:eastAsia="zh-CN"/>
        </w:rPr>
        <w:t xml:space="preserve">    </w:t>
      </w:r>
      <w:r>
        <w:rPr>
          <w:rFonts w:hint="eastAsia" w:cs="宋体"/>
        </w:rPr>
        <w:t>(姓名)、(身份证号码)，主要负责人</w:t>
      </w:r>
      <w:r>
        <w:rPr>
          <w:rFonts w:hint="eastAsia" w:cs="宋体"/>
          <w:lang w:val="en-US" w:eastAsia="zh-CN"/>
        </w:rPr>
        <w:t xml:space="preserve">    </w:t>
      </w:r>
      <w:r>
        <w:rPr>
          <w:rFonts w:hint="eastAsia" w:cs="宋体"/>
        </w:rPr>
        <w:t>(姓名)、(身份证号码)，(无行贿犯罪记录的期限)均无行贿犯罪记录。本单位对上述承诺的内容事项真实性、合法性负责。如经查实上述承诺的内容事项存在虚假，我单位自愿接受以提供虚假材料谋取成交所带来的所有法律责任。</w:t>
      </w:r>
    </w:p>
    <w:p w14:paraId="16FB8EA6">
      <w:pPr>
        <w:pStyle w:val="38"/>
        <w:rPr>
          <w:rFonts w:hint="eastAsia" w:cs="宋体"/>
        </w:rPr>
      </w:pPr>
    </w:p>
    <w:p w14:paraId="20CEA24C">
      <w:pPr>
        <w:pStyle w:val="38"/>
        <w:rPr>
          <w:rFonts w:hint="eastAsia" w:cs="宋体"/>
        </w:rPr>
      </w:pPr>
    </w:p>
    <w:p w14:paraId="1BA67620">
      <w:pPr>
        <w:pStyle w:val="39"/>
        <w:rPr>
          <w:rFonts w:hint="eastAsia" w:cs="宋体"/>
        </w:rPr>
      </w:pPr>
      <w:r>
        <w:rPr>
          <w:rFonts w:hint="eastAsia" w:cs="宋体"/>
        </w:rPr>
        <w:t>供应商名称：(盖章)</w:t>
      </w:r>
    </w:p>
    <w:p w14:paraId="4EEEFC94">
      <w:pPr>
        <w:pStyle w:val="39"/>
        <w:rPr>
          <w:rFonts w:hint="eastAsia" w:cs="宋体"/>
        </w:rPr>
      </w:pPr>
      <w:r>
        <w:rPr>
          <w:rFonts w:hint="eastAsia" w:cs="宋体"/>
        </w:rPr>
        <w:t>法定代表人/单位负责人或授权代表：(签字或盖章)</w:t>
      </w:r>
    </w:p>
    <w:p w14:paraId="26F94AB0">
      <w:pPr>
        <w:pStyle w:val="39"/>
        <w:rPr>
          <w:rFonts w:hint="eastAsia" w:cs="宋体"/>
        </w:rPr>
      </w:pPr>
      <w:r>
        <w:rPr>
          <w:rFonts w:hint="eastAsia" w:cs="宋体"/>
        </w:rPr>
        <w:t>日期：</w:t>
      </w:r>
    </w:p>
    <w:p w14:paraId="47232AEB">
      <w:pPr>
        <w:pStyle w:val="45"/>
        <w:numPr>
          <w:ilvl w:val="3"/>
          <w:numId w:val="0"/>
        </w:numPr>
        <w:ind w:firstLine="422" w:firstLineChars="200"/>
        <w:jc w:val="both"/>
        <w:rPr>
          <w:rFonts w:hint="eastAsia"/>
          <w:b/>
          <w:bCs/>
        </w:rPr>
      </w:pPr>
    </w:p>
    <w:p w14:paraId="38CA44D4">
      <w:pPr>
        <w:pStyle w:val="45"/>
        <w:numPr>
          <w:ilvl w:val="3"/>
          <w:numId w:val="0"/>
        </w:numPr>
        <w:ind w:firstLine="422" w:firstLineChars="200"/>
        <w:rPr>
          <w:b/>
          <w:bCs/>
        </w:rPr>
      </w:pPr>
      <w:r>
        <w:rPr>
          <w:rFonts w:hint="eastAsia"/>
          <w:b/>
          <w:bCs/>
        </w:rPr>
        <w:t>注：供应商成立时间超过十年的，在“</w:t>
      </w:r>
      <w:r>
        <w:rPr>
          <w:rFonts w:hint="eastAsia" w:cs="宋体"/>
          <w:b/>
          <w:bCs/>
        </w:rPr>
        <w:t>无行贿犯罪记录的期限</w:t>
      </w:r>
      <w:r>
        <w:rPr>
          <w:rFonts w:hint="eastAsia"/>
          <w:b/>
          <w:bCs/>
        </w:rPr>
        <w:t>”</w:t>
      </w:r>
      <w:r>
        <w:rPr>
          <w:rFonts w:hint="eastAsia" w:cs="宋体"/>
          <w:b/>
          <w:bCs/>
        </w:rPr>
        <w:t>处填写“十年内”；</w:t>
      </w:r>
      <w:r>
        <w:rPr>
          <w:rFonts w:hint="eastAsia"/>
          <w:b/>
          <w:bCs/>
        </w:rPr>
        <w:t>供应商</w:t>
      </w:r>
      <w:r>
        <w:rPr>
          <w:rFonts w:hint="eastAsia" w:cs="宋体"/>
          <w:b/>
          <w:bCs/>
        </w:rPr>
        <w:t>成立时间不足十年的，</w:t>
      </w:r>
      <w:r>
        <w:rPr>
          <w:rFonts w:hint="eastAsia"/>
          <w:b/>
          <w:bCs/>
        </w:rPr>
        <w:t>在“</w:t>
      </w:r>
      <w:r>
        <w:rPr>
          <w:rFonts w:hint="eastAsia" w:cs="宋体"/>
          <w:b/>
          <w:bCs/>
        </w:rPr>
        <w:t>无行贿犯罪记录的期限</w:t>
      </w:r>
      <w:r>
        <w:rPr>
          <w:rFonts w:hint="eastAsia"/>
          <w:b/>
          <w:bCs/>
        </w:rPr>
        <w:t>”</w:t>
      </w:r>
      <w:r>
        <w:rPr>
          <w:rFonts w:hint="eastAsia" w:cs="宋体"/>
          <w:b/>
          <w:bCs/>
        </w:rPr>
        <w:t>处填写“自我单位成立之日起至今”</w:t>
      </w:r>
      <w:r>
        <w:rPr>
          <w:rFonts w:hint="eastAsia"/>
          <w:b/>
          <w:bCs/>
        </w:rPr>
        <w:t>。</w:t>
      </w:r>
    </w:p>
    <w:p w14:paraId="14D8C0D2">
      <w:pPr>
        <w:pStyle w:val="38"/>
        <w:rPr>
          <w:rFonts w:hint="eastAsia"/>
          <w:lang w:val="zh-CN"/>
        </w:rPr>
      </w:pPr>
    </w:p>
    <w:bookmarkEnd w:id="146"/>
    <w:p w14:paraId="58F922F3">
      <w:pPr>
        <w:pStyle w:val="39"/>
        <w:rPr>
          <w:rFonts w:hint="eastAsia"/>
          <w:highlight w:val="yellow"/>
        </w:rPr>
      </w:pPr>
    </w:p>
    <w:p w14:paraId="7B8AB0A6">
      <w:pPr>
        <w:pStyle w:val="44"/>
        <w:numPr>
          <w:ilvl w:val="0"/>
          <w:numId w:val="0"/>
        </w:numPr>
        <w:spacing w:before="120" w:after="120"/>
        <w:ind w:left="960"/>
        <w:rPr>
          <w:rFonts w:hint="eastAsia"/>
          <w:w w:val="95"/>
        </w:rPr>
      </w:pPr>
      <w:bookmarkStart w:id="147" w:name="_Toc15708"/>
      <w:bookmarkStart w:id="148" w:name="_Toc14271"/>
      <w:bookmarkStart w:id="149" w:name="_Toc21855"/>
      <w:r>
        <w:rPr>
          <w:rFonts w:hint="eastAsia"/>
          <w:w w:val="95"/>
        </w:rPr>
        <w:t>九、符合《中华人民共和国政府采购法》第二十二条规定的条件的承诺及声明函</w:t>
      </w:r>
      <w:bookmarkEnd w:id="147"/>
      <w:bookmarkEnd w:id="148"/>
      <w:bookmarkEnd w:id="149"/>
    </w:p>
    <w:p w14:paraId="48CBC1A5">
      <w:pPr>
        <w:pStyle w:val="38"/>
        <w:rPr>
          <w:rFonts w:hint="eastAsia"/>
          <w:lang w:eastAsia="zh-CN"/>
        </w:rPr>
      </w:pPr>
      <w:r>
        <w:rPr>
          <w:rFonts w:hint="eastAsia"/>
          <w:lang w:eastAsia="zh-CN"/>
        </w:rPr>
        <w:t>汉源县中医医院：</w:t>
      </w:r>
    </w:p>
    <w:p w14:paraId="5E363A28">
      <w:pPr>
        <w:pStyle w:val="38"/>
        <w:ind w:firstLine="420" w:firstLineChars="200"/>
        <w:rPr>
          <w:rFonts w:hint="eastAsia"/>
        </w:rPr>
      </w:pPr>
      <w:r>
        <w:rPr>
          <w:rFonts w:hint="eastAsia"/>
        </w:rPr>
        <w:t>我公司作为本次采购项目的供应商，根据磋商文件要求，现郑重承诺及声明如下：</w:t>
      </w:r>
    </w:p>
    <w:p w14:paraId="4DE3ECBA">
      <w:pPr>
        <w:pStyle w:val="46"/>
        <w:numPr>
          <w:ilvl w:val="2"/>
          <w:numId w:val="11"/>
        </w:numPr>
        <w:ind w:firstLine="480"/>
        <w:rPr>
          <w:rFonts w:hint="eastAsia"/>
        </w:rPr>
      </w:pPr>
      <w:r>
        <w:rPr>
          <w:rFonts w:hint="eastAsia"/>
        </w:rPr>
        <w:t>具有良好的商业信誉和健全的财务会计制度；</w:t>
      </w:r>
    </w:p>
    <w:p w14:paraId="36CCF65B">
      <w:pPr>
        <w:pStyle w:val="46"/>
        <w:numPr>
          <w:ilvl w:val="2"/>
          <w:numId w:val="11"/>
        </w:numPr>
        <w:ind w:firstLine="480"/>
        <w:rPr>
          <w:rFonts w:hint="eastAsia"/>
        </w:rPr>
      </w:pPr>
      <w:r>
        <w:rPr>
          <w:rFonts w:hint="eastAsia"/>
        </w:rPr>
        <w:t>具有履行合同所必需的设备和专业技术能力；</w:t>
      </w:r>
    </w:p>
    <w:p w14:paraId="1E4376FA">
      <w:pPr>
        <w:pStyle w:val="46"/>
        <w:numPr>
          <w:ilvl w:val="2"/>
          <w:numId w:val="11"/>
        </w:numPr>
        <w:ind w:firstLine="480"/>
        <w:rPr>
          <w:rFonts w:hint="eastAsia"/>
        </w:rPr>
      </w:pPr>
      <w:r>
        <w:rPr>
          <w:rFonts w:hint="eastAsia"/>
        </w:rPr>
        <w:t>具有依法缴纳税收和社会保障资金的良好记录；</w:t>
      </w:r>
    </w:p>
    <w:p w14:paraId="5202B8B4">
      <w:pPr>
        <w:pStyle w:val="46"/>
        <w:numPr>
          <w:ilvl w:val="2"/>
          <w:numId w:val="11"/>
        </w:numPr>
        <w:ind w:firstLine="480"/>
        <w:rPr>
          <w:rFonts w:hint="eastAsia"/>
        </w:rPr>
      </w:pPr>
      <w:r>
        <w:rPr>
          <w:rFonts w:hint="eastAsia"/>
        </w:rPr>
        <w:t>参加本次政府采购活动前三年内，在经营活动中没有重大违法记录(供应商成立不足三年的，从成立之日起计算)；</w:t>
      </w:r>
    </w:p>
    <w:p w14:paraId="6CEA0103">
      <w:pPr>
        <w:pStyle w:val="46"/>
        <w:numPr>
          <w:ilvl w:val="2"/>
          <w:numId w:val="11"/>
        </w:numPr>
        <w:ind w:firstLine="480"/>
        <w:rPr>
          <w:rFonts w:hint="eastAsia"/>
        </w:rPr>
      </w:pPr>
      <w:r>
        <w:rPr>
          <w:rFonts w:hint="eastAsia"/>
        </w:rPr>
        <w:t>符合法律、行政法规规定的其他条件；</w:t>
      </w:r>
    </w:p>
    <w:p w14:paraId="4ED3B308">
      <w:pPr>
        <w:pStyle w:val="46"/>
        <w:numPr>
          <w:ilvl w:val="2"/>
          <w:numId w:val="11"/>
        </w:numPr>
        <w:ind w:firstLine="480"/>
        <w:rPr>
          <w:rFonts w:hint="eastAsia"/>
        </w:rPr>
      </w:pPr>
      <w:r>
        <w:rPr>
          <w:rFonts w:hint="eastAsia"/>
        </w:rPr>
        <w:t>未与其他供应商组成联合体参与本次采购活动；</w:t>
      </w:r>
    </w:p>
    <w:p w14:paraId="573D5C27">
      <w:pPr>
        <w:pStyle w:val="39"/>
        <w:rPr>
          <w:rFonts w:hint="eastAsia"/>
        </w:rPr>
      </w:pPr>
      <w:r>
        <w:rPr>
          <w:rFonts w:hint="eastAsia"/>
        </w:rPr>
        <w:t>本公司对上述承诺的内容事项真实性、合法性负责。如经查实上述承诺的内容事项存在虚假，我公司自愿接受以提供虚假材料谋取成交所带来的所有法律责任。</w:t>
      </w:r>
    </w:p>
    <w:p w14:paraId="1885474C">
      <w:pPr>
        <w:pStyle w:val="38"/>
        <w:rPr>
          <w:rFonts w:hint="eastAsia"/>
        </w:rPr>
      </w:pPr>
    </w:p>
    <w:p w14:paraId="1C116C99">
      <w:pPr>
        <w:pStyle w:val="38"/>
        <w:rPr>
          <w:rFonts w:hint="eastAsia"/>
        </w:rPr>
      </w:pPr>
    </w:p>
    <w:p w14:paraId="14BDA735">
      <w:pPr>
        <w:pStyle w:val="39"/>
        <w:rPr>
          <w:rFonts w:hint="eastAsia"/>
        </w:rPr>
      </w:pPr>
      <w:r>
        <w:rPr>
          <w:rFonts w:hint="eastAsia"/>
        </w:rPr>
        <w:t>供应商名称：(盖章)</w:t>
      </w:r>
    </w:p>
    <w:p w14:paraId="319EC195">
      <w:pPr>
        <w:pStyle w:val="39"/>
        <w:rPr>
          <w:rFonts w:hint="eastAsia"/>
        </w:rPr>
      </w:pPr>
      <w:r>
        <w:rPr>
          <w:rFonts w:hint="eastAsia"/>
        </w:rPr>
        <w:t>法定代表人/单位负责人或授权代表：(签字或盖章)</w:t>
      </w:r>
    </w:p>
    <w:p w14:paraId="6AB66495">
      <w:pPr>
        <w:pStyle w:val="39"/>
        <w:rPr>
          <w:rFonts w:hint="eastAsia"/>
        </w:rPr>
      </w:pPr>
      <w:r>
        <w:rPr>
          <w:rFonts w:hint="eastAsia"/>
        </w:rPr>
        <w:t>日期：</w:t>
      </w:r>
    </w:p>
    <w:p w14:paraId="32F9A2B4">
      <w:pPr>
        <w:pStyle w:val="37"/>
        <w:numPr>
          <w:ilvl w:val="1"/>
          <w:numId w:val="0"/>
        </w:numPr>
        <w:tabs>
          <w:tab w:val="left" w:pos="0"/>
        </w:tabs>
        <w:jc w:val="center"/>
        <w:outlineLvl w:val="9"/>
        <w:rPr>
          <w:rFonts w:hint="eastAsia"/>
        </w:rPr>
      </w:pPr>
      <w:r>
        <w:rPr>
          <w:rFonts w:hint="eastAsia"/>
        </w:rPr>
        <w:t>注：本部分所要求的承诺函可参照本格式或自拟格式填写均有效。</w:t>
      </w:r>
    </w:p>
    <w:p w14:paraId="75625480">
      <w:pPr>
        <w:pStyle w:val="37"/>
        <w:numPr>
          <w:ilvl w:val="1"/>
          <w:numId w:val="0"/>
        </w:numPr>
        <w:tabs>
          <w:tab w:val="left" w:pos="0"/>
        </w:tabs>
        <w:jc w:val="both"/>
        <w:outlineLvl w:val="9"/>
        <w:rPr>
          <w:rFonts w:hint="eastAsia"/>
        </w:rPr>
      </w:pPr>
      <w:r>
        <w:rPr>
          <w:rFonts w:hint="eastAsia"/>
        </w:rPr>
        <w:br w:type="page"/>
      </w:r>
    </w:p>
    <w:p w14:paraId="5F8353E3">
      <w:pPr>
        <w:pStyle w:val="37"/>
        <w:numPr>
          <w:ilvl w:val="1"/>
          <w:numId w:val="0"/>
        </w:numPr>
        <w:tabs>
          <w:tab w:val="left" w:pos="0"/>
        </w:tabs>
        <w:jc w:val="center"/>
        <w:outlineLvl w:val="9"/>
        <w:rPr>
          <w:rFonts w:hint="eastAsia"/>
        </w:rPr>
      </w:pPr>
    </w:p>
    <w:p w14:paraId="024E3910">
      <w:pPr>
        <w:pStyle w:val="37"/>
        <w:numPr>
          <w:ilvl w:val="1"/>
          <w:numId w:val="0"/>
        </w:numPr>
        <w:tabs>
          <w:tab w:val="left" w:pos="0"/>
        </w:tabs>
        <w:jc w:val="center"/>
        <w:outlineLvl w:val="9"/>
        <w:rPr>
          <w:rFonts w:hint="eastAsia"/>
        </w:rPr>
      </w:pPr>
    </w:p>
    <w:p w14:paraId="722DDB2A">
      <w:pPr>
        <w:pStyle w:val="37"/>
        <w:numPr>
          <w:ilvl w:val="1"/>
          <w:numId w:val="0"/>
        </w:numPr>
        <w:tabs>
          <w:tab w:val="left" w:pos="0"/>
        </w:tabs>
        <w:jc w:val="center"/>
        <w:outlineLvl w:val="9"/>
        <w:rPr>
          <w:rFonts w:hint="eastAsia"/>
        </w:rPr>
      </w:pPr>
    </w:p>
    <w:p w14:paraId="54A03AC7">
      <w:pPr>
        <w:pStyle w:val="37"/>
        <w:numPr>
          <w:ilvl w:val="1"/>
          <w:numId w:val="0"/>
        </w:numPr>
        <w:tabs>
          <w:tab w:val="left" w:pos="0"/>
        </w:tabs>
        <w:jc w:val="center"/>
        <w:outlineLvl w:val="9"/>
        <w:rPr>
          <w:rFonts w:hint="eastAsia"/>
        </w:rPr>
      </w:pPr>
    </w:p>
    <w:p w14:paraId="1EB26C44">
      <w:pPr>
        <w:pStyle w:val="37"/>
        <w:numPr>
          <w:ilvl w:val="1"/>
          <w:numId w:val="0"/>
        </w:numPr>
        <w:tabs>
          <w:tab w:val="left" w:pos="0"/>
        </w:tabs>
        <w:jc w:val="center"/>
        <w:outlineLvl w:val="9"/>
        <w:rPr>
          <w:rFonts w:hint="eastAsia"/>
        </w:rPr>
      </w:pPr>
    </w:p>
    <w:p w14:paraId="2796A872">
      <w:pPr>
        <w:pStyle w:val="37"/>
        <w:numPr>
          <w:ilvl w:val="1"/>
          <w:numId w:val="0"/>
        </w:numPr>
        <w:tabs>
          <w:tab w:val="left" w:pos="0"/>
        </w:tabs>
        <w:jc w:val="center"/>
        <w:outlineLvl w:val="9"/>
        <w:rPr>
          <w:rFonts w:hint="eastAsia"/>
        </w:rPr>
      </w:pPr>
    </w:p>
    <w:p w14:paraId="5BCED975">
      <w:pPr>
        <w:pStyle w:val="37"/>
        <w:numPr>
          <w:ilvl w:val="1"/>
          <w:numId w:val="0"/>
        </w:numPr>
        <w:tabs>
          <w:tab w:val="left" w:pos="0"/>
        </w:tabs>
        <w:jc w:val="center"/>
        <w:outlineLvl w:val="9"/>
        <w:rPr>
          <w:rFonts w:hint="eastAsia"/>
        </w:rPr>
      </w:pPr>
    </w:p>
    <w:p w14:paraId="18D0DC91">
      <w:pPr>
        <w:pStyle w:val="37"/>
        <w:numPr>
          <w:ilvl w:val="1"/>
          <w:numId w:val="0"/>
        </w:numPr>
        <w:tabs>
          <w:tab w:val="left" w:pos="0"/>
        </w:tabs>
        <w:jc w:val="center"/>
        <w:outlineLvl w:val="9"/>
        <w:rPr>
          <w:rFonts w:hint="eastAsia"/>
        </w:rPr>
      </w:pPr>
    </w:p>
    <w:p w14:paraId="3CD42C11">
      <w:pPr>
        <w:pStyle w:val="37"/>
        <w:numPr>
          <w:ilvl w:val="1"/>
          <w:numId w:val="0"/>
        </w:numPr>
        <w:tabs>
          <w:tab w:val="left" w:pos="0"/>
        </w:tabs>
        <w:jc w:val="center"/>
        <w:outlineLvl w:val="9"/>
        <w:rPr>
          <w:rFonts w:hint="eastAsia"/>
        </w:rPr>
      </w:pPr>
    </w:p>
    <w:p w14:paraId="4A33F7ED">
      <w:pPr>
        <w:pStyle w:val="37"/>
        <w:numPr>
          <w:ilvl w:val="1"/>
          <w:numId w:val="0"/>
        </w:numPr>
        <w:tabs>
          <w:tab w:val="left" w:pos="0"/>
        </w:tabs>
        <w:jc w:val="center"/>
        <w:outlineLvl w:val="9"/>
        <w:rPr>
          <w:rFonts w:hint="eastAsia"/>
        </w:rPr>
      </w:pPr>
    </w:p>
    <w:p w14:paraId="0FFA6CA2">
      <w:pPr>
        <w:pStyle w:val="37"/>
        <w:numPr>
          <w:ilvl w:val="1"/>
          <w:numId w:val="0"/>
        </w:numPr>
        <w:tabs>
          <w:tab w:val="left" w:pos="0"/>
        </w:tabs>
        <w:jc w:val="center"/>
        <w:outlineLvl w:val="9"/>
        <w:rPr>
          <w:rFonts w:hint="eastAsia"/>
        </w:rPr>
      </w:pPr>
    </w:p>
    <w:p w14:paraId="0D2BEBCA">
      <w:pPr>
        <w:pStyle w:val="37"/>
        <w:numPr>
          <w:ilvl w:val="1"/>
          <w:numId w:val="0"/>
        </w:numPr>
        <w:tabs>
          <w:tab w:val="left" w:pos="0"/>
        </w:tabs>
        <w:jc w:val="center"/>
        <w:outlineLvl w:val="9"/>
        <w:rPr>
          <w:rFonts w:hint="eastAsia"/>
        </w:rPr>
      </w:pPr>
    </w:p>
    <w:p w14:paraId="66E6A1C7">
      <w:pPr>
        <w:pStyle w:val="37"/>
        <w:numPr>
          <w:ilvl w:val="1"/>
          <w:numId w:val="0"/>
        </w:numPr>
        <w:tabs>
          <w:tab w:val="left" w:pos="0"/>
        </w:tabs>
        <w:jc w:val="center"/>
        <w:rPr>
          <w:rFonts w:hint="eastAsia"/>
          <w:sz w:val="32"/>
          <w:szCs w:val="32"/>
        </w:rPr>
      </w:pPr>
      <w:r>
        <w:rPr>
          <w:rFonts w:hint="eastAsia"/>
          <w:sz w:val="32"/>
          <w:szCs w:val="32"/>
        </w:rPr>
        <w:t>第二部分其他响应文件(格式)</w:t>
      </w:r>
      <w:bookmarkEnd w:id="131"/>
    </w:p>
    <w:p w14:paraId="7F11322A">
      <w:pPr>
        <w:pStyle w:val="44"/>
        <w:pageBreakBefore w:val="0"/>
        <w:numPr>
          <w:ilvl w:val="0"/>
          <w:numId w:val="0"/>
        </w:numPr>
        <w:spacing w:before="120" w:after="120"/>
        <w:outlineLvl w:val="9"/>
        <w:rPr>
          <w:rFonts w:hint="eastAsia"/>
        </w:rPr>
      </w:pPr>
      <w:bookmarkStart w:id="150" w:name="_Toc1845"/>
      <w:bookmarkStart w:id="151" w:name="_Toc2311"/>
    </w:p>
    <w:p w14:paraId="215FF1EA">
      <w:pPr>
        <w:pStyle w:val="44"/>
        <w:pageBreakBefore w:val="0"/>
        <w:numPr>
          <w:ilvl w:val="0"/>
          <w:numId w:val="0"/>
        </w:numPr>
        <w:spacing w:before="120" w:after="120"/>
        <w:outlineLvl w:val="9"/>
        <w:rPr>
          <w:rFonts w:hint="eastAsia"/>
        </w:rPr>
      </w:pPr>
    </w:p>
    <w:p w14:paraId="418A27DA">
      <w:pPr>
        <w:pStyle w:val="44"/>
        <w:pageBreakBefore w:val="0"/>
        <w:numPr>
          <w:ilvl w:val="0"/>
          <w:numId w:val="0"/>
        </w:numPr>
        <w:spacing w:before="120" w:after="120"/>
        <w:outlineLvl w:val="9"/>
        <w:rPr>
          <w:rFonts w:hint="eastAsia"/>
        </w:rPr>
      </w:pPr>
    </w:p>
    <w:p w14:paraId="31A1ADEB">
      <w:pPr>
        <w:pStyle w:val="44"/>
        <w:pageBreakBefore w:val="0"/>
        <w:numPr>
          <w:ilvl w:val="0"/>
          <w:numId w:val="0"/>
        </w:numPr>
        <w:spacing w:before="120" w:after="120"/>
        <w:outlineLvl w:val="9"/>
        <w:rPr>
          <w:rFonts w:hint="eastAsia"/>
        </w:rPr>
      </w:pPr>
    </w:p>
    <w:p w14:paraId="61986A45">
      <w:pPr>
        <w:pStyle w:val="44"/>
        <w:pageBreakBefore w:val="0"/>
        <w:numPr>
          <w:ilvl w:val="0"/>
          <w:numId w:val="0"/>
        </w:numPr>
        <w:spacing w:before="120" w:after="120"/>
        <w:outlineLvl w:val="9"/>
        <w:rPr>
          <w:rFonts w:hint="eastAsia"/>
        </w:rPr>
      </w:pPr>
    </w:p>
    <w:p w14:paraId="57CEC356">
      <w:pPr>
        <w:pStyle w:val="44"/>
        <w:pageBreakBefore w:val="0"/>
        <w:numPr>
          <w:ilvl w:val="0"/>
          <w:numId w:val="0"/>
        </w:numPr>
        <w:spacing w:before="120" w:after="120"/>
        <w:outlineLvl w:val="9"/>
        <w:rPr>
          <w:rFonts w:hint="eastAsia"/>
        </w:rPr>
      </w:pPr>
    </w:p>
    <w:p w14:paraId="67E42B8B">
      <w:pPr>
        <w:pStyle w:val="44"/>
        <w:pageBreakBefore w:val="0"/>
        <w:numPr>
          <w:ilvl w:val="0"/>
          <w:numId w:val="0"/>
        </w:numPr>
        <w:spacing w:before="120" w:after="120"/>
        <w:outlineLvl w:val="9"/>
        <w:rPr>
          <w:rFonts w:hint="eastAsia"/>
        </w:rPr>
      </w:pPr>
    </w:p>
    <w:p w14:paraId="1C23E3ED">
      <w:pPr>
        <w:pStyle w:val="44"/>
        <w:pageBreakBefore w:val="0"/>
        <w:numPr>
          <w:ilvl w:val="0"/>
          <w:numId w:val="0"/>
        </w:numPr>
        <w:spacing w:before="120" w:after="120"/>
        <w:outlineLvl w:val="9"/>
        <w:rPr>
          <w:rFonts w:hint="eastAsia"/>
        </w:rPr>
      </w:pPr>
    </w:p>
    <w:p w14:paraId="74526F3E">
      <w:pPr>
        <w:pStyle w:val="44"/>
        <w:pageBreakBefore w:val="0"/>
        <w:numPr>
          <w:ilvl w:val="0"/>
          <w:numId w:val="0"/>
        </w:numPr>
        <w:spacing w:before="120" w:after="120"/>
        <w:outlineLvl w:val="9"/>
        <w:rPr>
          <w:rFonts w:hint="eastAsia"/>
        </w:rPr>
      </w:pPr>
    </w:p>
    <w:p w14:paraId="7D9066F5">
      <w:pPr>
        <w:pStyle w:val="44"/>
        <w:pageBreakBefore w:val="0"/>
        <w:numPr>
          <w:ilvl w:val="0"/>
          <w:numId w:val="0"/>
        </w:numPr>
        <w:spacing w:before="120" w:after="120"/>
        <w:outlineLvl w:val="9"/>
        <w:rPr>
          <w:rFonts w:hint="eastAsia"/>
        </w:rPr>
      </w:pPr>
    </w:p>
    <w:p w14:paraId="5D3233B8">
      <w:pPr>
        <w:pStyle w:val="44"/>
        <w:pageBreakBefore w:val="0"/>
        <w:numPr>
          <w:ilvl w:val="0"/>
          <w:numId w:val="0"/>
        </w:numPr>
        <w:spacing w:before="120" w:after="120"/>
        <w:outlineLvl w:val="9"/>
        <w:rPr>
          <w:rFonts w:hint="eastAsia"/>
        </w:rPr>
      </w:pPr>
    </w:p>
    <w:p w14:paraId="01C45B70">
      <w:pPr>
        <w:pStyle w:val="44"/>
        <w:pageBreakBefore w:val="0"/>
        <w:numPr>
          <w:ilvl w:val="0"/>
          <w:numId w:val="0"/>
        </w:numPr>
        <w:spacing w:before="120" w:after="120"/>
        <w:outlineLvl w:val="9"/>
        <w:rPr>
          <w:rFonts w:hint="eastAsia"/>
        </w:rPr>
      </w:pPr>
    </w:p>
    <w:p w14:paraId="6820D4AE">
      <w:pPr>
        <w:pStyle w:val="44"/>
        <w:pageBreakBefore w:val="0"/>
        <w:numPr>
          <w:ilvl w:val="0"/>
          <w:numId w:val="0"/>
        </w:numPr>
        <w:spacing w:before="120" w:after="120"/>
        <w:jc w:val="both"/>
        <w:outlineLvl w:val="9"/>
        <w:rPr>
          <w:rFonts w:hint="eastAsia"/>
        </w:rPr>
      </w:pPr>
    </w:p>
    <w:bookmarkEnd w:id="150"/>
    <w:bookmarkEnd w:id="151"/>
    <w:p w14:paraId="59887404">
      <w:pPr>
        <w:pStyle w:val="44"/>
        <w:pageBreakBefore w:val="0"/>
        <w:numPr>
          <w:ilvl w:val="0"/>
          <w:numId w:val="12"/>
        </w:numPr>
        <w:spacing w:before="120" w:after="120"/>
        <w:rPr>
          <w:rFonts w:hint="eastAsia"/>
        </w:rPr>
      </w:pPr>
      <w:bookmarkStart w:id="152" w:name="_Toc10493"/>
      <w:bookmarkStart w:id="153" w:name="_Toc3690"/>
      <w:bookmarkStart w:id="154" w:name="_Toc439161752"/>
      <w:bookmarkStart w:id="155" w:name="_Toc302997926"/>
      <w:bookmarkStart w:id="156" w:name="_Toc5912"/>
      <w:bookmarkStart w:id="157" w:name="_Toc16125"/>
      <w:bookmarkStart w:id="158" w:name="_Toc6982"/>
      <w:r>
        <w:rPr>
          <w:rFonts w:hint="eastAsia"/>
        </w:rPr>
        <w:t>报价函</w:t>
      </w:r>
    </w:p>
    <w:p w14:paraId="242FB539">
      <w:pPr>
        <w:pStyle w:val="44"/>
        <w:pageBreakBefore w:val="0"/>
        <w:numPr>
          <w:ilvl w:val="0"/>
          <w:numId w:val="0"/>
        </w:numPr>
        <w:spacing w:before="120" w:after="120" w:line="480" w:lineRule="exact"/>
        <w:jc w:val="left"/>
        <w:rPr>
          <w:rFonts w:hint="eastAsia" w:cs="Times New Roman"/>
          <w:b w:val="0"/>
          <w:bCs/>
          <w:snapToGrid/>
          <w:sz w:val="24"/>
          <w:lang w:val="zh-CN"/>
        </w:rPr>
      </w:pPr>
      <w:r>
        <w:rPr>
          <w:rFonts w:hint="eastAsia" w:cs="Times New Roman"/>
          <w:b w:val="0"/>
          <w:bCs/>
          <w:snapToGrid/>
          <w:sz w:val="24"/>
          <w:lang w:val="zh-CN"/>
        </w:rPr>
        <w:t>致：汉源县中医医院</w:t>
      </w:r>
    </w:p>
    <w:p w14:paraId="5065460D">
      <w:pPr>
        <w:pStyle w:val="44"/>
        <w:pageBreakBefore w:val="0"/>
        <w:numPr>
          <w:ilvl w:val="0"/>
          <w:numId w:val="0"/>
        </w:numPr>
        <w:spacing w:before="120" w:after="120" w:line="480" w:lineRule="exact"/>
        <w:ind w:firstLine="480" w:firstLineChars="200"/>
        <w:jc w:val="left"/>
        <w:rPr>
          <w:rFonts w:hint="default" w:eastAsia="宋体" w:cs="Times New Roman"/>
          <w:b w:val="0"/>
          <w:bCs/>
          <w:snapToGrid/>
          <w:sz w:val="24"/>
          <w:lang w:val="en-US" w:eastAsia="zh-CN"/>
        </w:rPr>
      </w:pPr>
      <w:r>
        <w:rPr>
          <w:rFonts w:hint="eastAsia" w:cs="Times New Roman"/>
          <w:b w:val="0"/>
          <w:bCs/>
          <w:snapToGrid/>
          <w:sz w:val="24"/>
        </w:rPr>
        <w:t>1.我方全面研究了“(项目名称</w:t>
      </w:r>
      <w:r>
        <w:rPr>
          <w:rFonts w:hint="eastAsia" w:cs="Times New Roman"/>
          <w:b w:val="0"/>
          <w:bCs/>
          <w:snapToGrid/>
          <w:sz w:val="24"/>
          <w:lang w:eastAsia="zh-CN"/>
        </w:rPr>
        <w:t>：</w:t>
      </w:r>
      <w:r>
        <w:rPr>
          <w:rFonts w:hint="eastAsia" w:cs="Times New Roman"/>
          <w:b w:val="0"/>
          <w:bCs/>
          <w:snapToGrid/>
          <w:sz w:val="24"/>
          <w:u w:val="single"/>
          <w:lang w:val="en-US" w:eastAsia="zh-CN"/>
        </w:rPr>
        <w:t xml:space="preserve">         </w:t>
      </w:r>
      <w:r>
        <w:rPr>
          <w:rFonts w:hint="eastAsia" w:cs="Times New Roman"/>
          <w:b w:val="0"/>
          <w:bCs/>
          <w:snapToGrid/>
          <w:sz w:val="24"/>
        </w:rPr>
        <w:t>)(项目编号</w:t>
      </w:r>
      <w:r>
        <w:rPr>
          <w:rFonts w:hint="eastAsia" w:cs="Times New Roman"/>
          <w:b w:val="0"/>
          <w:bCs/>
          <w:snapToGrid/>
          <w:sz w:val="24"/>
          <w:lang w:eastAsia="zh-CN"/>
        </w:rPr>
        <w:t>：</w:t>
      </w:r>
      <w:r>
        <w:rPr>
          <w:rFonts w:hint="eastAsia" w:cs="Times New Roman"/>
          <w:b w:val="0"/>
          <w:bCs/>
          <w:snapToGrid/>
          <w:sz w:val="24"/>
          <w:u w:val="single"/>
          <w:lang w:val="en-US" w:eastAsia="zh-CN"/>
        </w:rPr>
        <w:t xml:space="preserve">       </w:t>
      </w:r>
      <w:r>
        <w:rPr>
          <w:rFonts w:hint="eastAsia" w:cs="Times New Roman"/>
          <w:b w:val="0"/>
          <w:bCs/>
          <w:snapToGrid/>
          <w:sz w:val="24"/>
          <w:lang w:val="en-US" w:eastAsia="zh-CN"/>
        </w:rPr>
        <w:t xml:space="preserve"> </w:t>
      </w:r>
      <w:r>
        <w:rPr>
          <w:rFonts w:hint="eastAsia" w:cs="Times New Roman"/>
          <w:b w:val="0"/>
          <w:bCs/>
          <w:snapToGrid/>
          <w:sz w:val="24"/>
        </w:rPr>
        <w:t>)”的磋商文件，决定参加贵单位组织的本项目磋商采购。</w:t>
      </w:r>
      <w:r>
        <w:rPr>
          <w:rFonts w:hint="eastAsia" w:cs="Times New Roman"/>
          <w:b w:val="0"/>
          <w:bCs/>
          <w:snapToGrid/>
          <w:sz w:val="24"/>
          <w:lang w:val="en-US" w:eastAsia="zh-CN"/>
        </w:rPr>
        <w:t xml:space="preserve">  </w:t>
      </w:r>
    </w:p>
    <w:p w14:paraId="43B350A0">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2.我方自愿按照磋商文件规定的各项要求向采购人提供所需服务，</w:t>
      </w:r>
      <w:r>
        <w:rPr>
          <w:rFonts w:hint="eastAsia"/>
          <w:b w:val="0"/>
          <w:snapToGrid/>
          <w:sz w:val="24"/>
          <w:lang w:eastAsia="zh-CN"/>
        </w:rPr>
        <w:t>单项</w:t>
      </w:r>
      <w:r>
        <w:rPr>
          <w:rFonts w:hint="eastAsia"/>
          <w:b w:val="0"/>
          <w:snapToGrid/>
          <w:sz w:val="24"/>
        </w:rPr>
        <w:t>报价</w:t>
      </w:r>
      <w:r>
        <w:rPr>
          <w:rFonts w:hint="eastAsia"/>
          <w:b w:val="0"/>
          <w:snapToGrid/>
          <w:sz w:val="24"/>
          <w:lang w:eastAsia="zh-CN"/>
        </w:rPr>
        <w:t>总计</w:t>
      </w:r>
      <w:r>
        <w:rPr>
          <w:rFonts w:hint="eastAsia"/>
          <w:b w:val="0"/>
          <w:snapToGrid/>
          <w:sz w:val="24"/>
        </w:rPr>
        <w:t>为</w:t>
      </w:r>
      <w:r>
        <w:rPr>
          <w:rFonts w:hint="eastAsia"/>
          <w:b w:val="0"/>
          <w:snapToGrid/>
          <w:sz w:val="24"/>
          <w:u w:val="none"/>
        </w:rPr>
        <w:t>：</w:t>
      </w:r>
      <w:r>
        <w:rPr>
          <w:rFonts w:hint="eastAsia"/>
          <w:b w:val="0"/>
          <w:snapToGrid/>
          <w:sz w:val="24"/>
          <w:u w:val="single"/>
          <w:lang w:val="en-US" w:eastAsia="zh-CN"/>
        </w:rPr>
        <w:t xml:space="preserve">        </w:t>
      </w:r>
      <w:r>
        <w:rPr>
          <w:rFonts w:hint="eastAsia"/>
          <w:b w:val="0"/>
          <w:snapToGrid/>
          <w:sz w:val="24"/>
        </w:rPr>
        <w:t>元（大写：</w:t>
      </w:r>
      <w:r>
        <w:rPr>
          <w:rFonts w:hint="eastAsia"/>
          <w:b w:val="0"/>
          <w:snapToGrid/>
          <w:sz w:val="24"/>
          <w:u w:val="single"/>
          <w:lang w:val="en-US" w:eastAsia="zh-CN"/>
        </w:rPr>
        <w:t xml:space="preserve">        </w:t>
      </w:r>
      <w:r>
        <w:rPr>
          <w:rFonts w:hint="eastAsia"/>
          <w:b w:val="0"/>
          <w:snapToGrid/>
          <w:sz w:val="24"/>
        </w:rPr>
        <w:t>）</w:t>
      </w:r>
    </w:p>
    <w:p w14:paraId="4E60580A">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3.一旦我方成交，我方将严格履行采购合同规定的责任和义务。</w:t>
      </w:r>
    </w:p>
    <w:p w14:paraId="56FE68EE">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4.我们已详细审核全部竞争性磋商文件，包括文件修改书（如果有的话），参考资料及有关附件，我们完全理解并放弃提出含糊不清或误解的问题的权利。</w:t>
      </w:r>
    </w:p>
    <w:p w14:paraId="1B148190">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5.我方同意本磋商文件依据《四川省政府采购当事人诚信管理办法》（川财采〔2018〕33号）对我方可能存在的失信行为进行惩戒。</w:t>
      </w:r>
    </w:p>
    <w:p w14:paraId="4BD7D46B">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6.我方为本项目提交的响应文件正本1份，副本2份用于磋商报价。</w:t>
      </w:r>
    </w:p>
    <w:p w14:paraId="6966DBB6">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7.我方愿意提供贵单位可能另外要求的，与磋商报价有关的文件资料，并保证我方已提供和将要提供的文件资料是真实、准确的。</w:t>
      </w:r>
    </w:p>
    <w:p w14:paraId="32F12E25">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8.本次磋商，我方递交的响应文件有效期为递交磋商响应文件截止之日起90天。</w:t>
      </w:r>
    </w:p>
    <w:p w14:paraId="40683A38">
      <w:pPr>
        <w:pStyle w:val="44"/>
        <w:pageBreakBefore w:val="0"/>
        <w:numPr>
          <w:ilvl w:val="0"/>
          <w:numId w:val="0"/>
        </w:numPr>
        <w:spacing w:before="120" w:after="120"/>
        <w:jc w:val="left"/>
        <w:rPr>
          <w:rFonts w:hint="eastAsia"/>
          <w:b w:val="0"/>
          <w:snapToGrid/>
          <w:sz w:val="24"/>
        </w:rPr>
      </w:pPr>
      <w:r>
        <w:rPr>
          <w:rFonts w:hint="eastAsia"/>
          <w:b w:val="0"/>
          <w:snapToGrid/>
          <w:sz w:val="24"/>
        </w:rPr>
        <w:t>供应商名称：XXX（盖单位公章）</w:t>
      </w:r>
    </w:p>
    <w:p w14:paraId="259C22FE">
      <w:pPr>
        <w:pStyle w:val="44"/>
        <w:pageBreakBefore w:val="0"/>
        <w:numPr>
          <w:ilvl w:val="0"/>
          <w:numId w:val="0"/>
        </w:numPr>
        <w:spacing w:before="120" w:after="120"/>
        <w:jc w:val="left"/>
        <w:rPr>
          <w:rFonts w:hint="eastAsia"/>
          <w:b w:val="0"/>
          <w:snapToGrid/>
          <w:sz w:val="24"/>
        </w:rPr>
      </w:pPr>
      <w:r>
        <w:rPr>
          <w:rFonts w:hint="eastAsia"/>
          <w:b w:val="0"/>
          <w:snapToGrid/>
          <w:sz w:val="24"/>
        </w:rPr>
        <w:t>法定代表人或授权代表(签字或盖章)：XXX</w:t>
      </w:r>
    </w:p>
    <w:p w14:paraId="63732601">
      <w:pPr>
        <w:pStyle w:val="44"/>
        <w:pageBreakBefore w:val="0"/>
        <w:numPr>
          <w:ilvl w:val="0"/>
          <w:numId w:val="0"/>
        </w:numPr>
        <w:spacing w:before="120" w:after="120"/>
        <w:jc w:val="left"/>
        <w:rPr>
          <w:rFonts w:hint="eastAsia"/>
          <w:b w:val="0"/>
          <w:snapToGrid/>
          <w:sz w:val="24"/>
        </w:rPr>
      </w:pPr>
      <w:r>
        <w:rPr>
          <w:rFonts w:hint="eastAsia"/>
          <w:b w:val="0"/>
          <w:snapToGrid/>
          <w:sz w:val="24"/>
        </w:rPr>
        <w:t>通讯地址：XXX</w:t>
      </w:r>
    </w:p>
    <w:p w14:paraId="791DA87D">
      <w:pPr>
        <w:pStyle w:val="44"/>
        <w:pageBreakBefore w:val="0"/>
        <w:numPr>
          <w:ilvl w:val="0"/>
          <w:numId w:val="0"/>
        </w:numPr>
        <w:spacing w:before="120" w:after="120"/>
        <w:jc w:val="left"/>
        <w:rPr>
          <w:rFonts w:hint="eastAsia"/>
          <w:b w:val="0"/>
          <w:snapToGrid/>
          <w:sz w:val="24"/>
        </w:rPr>
      </w:pPr>
      <w:r>
        <w:rPr>
          <w:rFonts w:hint="eastAsia"/>
          <w:b w:val="0"/>
          <w:snapToGrid/>
          <w:sz w:val="24"/>
        </w:rPr>
        <w:t>邮政编码：XXX</w:t>
      </w:r>
    </w:p>
    <w:p w14:paraId="4258DAC9">
      <w:pPr>
        <w:pStyle w:val="44"/>
        <w:pageBreakBefore w:val="0"/>
        <w:numPr>
          <w:ilvl w:val="0"/>
          <w:numId w:val="0"/>
        </w:numPr>
        <w:spacing w:before="120" w:after="120"/>
        <w:jc w:val="left"/>
        <w:rPr>
          <w:rFonts w:hint="eastAsia"/>
          <w:b w:val="0"/>
          <w:snapToGrid/>
          <w:sz w:val="24"/>
        </w:rPr>
      </w:pPr>
      <w:r>
        <w:rPr>
          <w:rFonts w:hint="eastAsia"/>
          <w:b w:val="0"/>
          <w:snapToGrid/>
          <w:sz w:val="24"/>
        </w:rPr>
        <w:t>联系电话：XXX</w:t>
      </w:r>
    </w:p>
    <w:p w14:paraId="2DB3D638">
      <w:pPr>
        <w:pStyle w:val="44"/>
        <w:pageBreakBefore w:val="0"/>
        <w:numPr>
          <w:ilvl w:val="0"/>
          <w:numId w:val="0"/>
        </w:numPr>
        <w:spacing w:before="120" w:after="120"/>
        <w:jc w:val="left"/>
        <w:rPr>
          <w:rFonts w:hint="eastAsia"/>
          <w:b w:val="0"/>
          <w:snapToGrid/>
          <w:sz w:val="24"/>
        </w:rPr>
      </w:pPr>
      <w:r>
        <w:rPr>
          <w:rFonts w:hint="eastAsia"/>
          <w:b w:val="0"/>
          <w:snapToGrid/>
          <w:sz w:val="24"/>
        </w:rPr>
        <w:t>传真：XXX</w:t>
      </w:r>
    </w:p>
    <w:p w14:paraId="6536B4B3">
      <w:pPr>
        <w:pStyle w:val="44"/>
        <w:pageBreakBefore w:val="0"/>
        <w:numPr>
          <w:ilvl w:val="0"/>
          <w:numId w:val="0"/>
        </w:numPr>
        <w:spacing w:before="120" w:after="120"/>
        <w:jc w:val="left"/>
        <w:rPr>
          <w:rFonts w:hint="default" w:eastAsia="宋体"/>
          <w:b w:val="0"/>
          <w:snapToGrid/>
          <w:sz w:val="24"/>
          <w:lang w:val="en-US" w:eastAsia="zh-CN"/>
        </w:rPr>
      </w:pPr>
      <w:r>
        <w:rPr>
          <w:rFonts w:hint="eastAsia"/>
          <w:b w:val="0"/>
          <w:snapToGrid/>
          <w:sz w:val="24"/>
          <w:lang w:eastAsia="zh-CN"/>
        </w:rPr>
        <w:t>日期：</w:t>
      </w:r>
      <w:r>
        <w:rPr>
          <w:rFonts w:hint="eastAsia"/>
          <w:b w:val="0"/>
          <w:snapToGrid/>
          <w:sz w:val="24"/>
          <w:lang w:val="en-US" w:eastAsia="zh-CN"/>
        </w:rPr>
        <w:t>XXX</w:t>
      </w:r>
    </w:p>
    <w:p w14:paraId="608691C1">
      <w:pPr>
        <w:pStyle w:val="44"/>
        <w:numPr>
          <w:ilvl w:val="0"/>
          <w:numId w:val="12"/>
        </w:numPr>
        <w:spacing w:before="120" w:after="120"/>
        <w:rPr>
          <w:rFonts w:hint="eastAsia"/>
        </w:rPr>
      </w:pPr>
      <w:r>
        <w:rPr>
          <w:rFonts w:hint="eastAsia"/>
        </w:rPr>
        <w:t>磋商函</w:t>
      </w:r>
    </w:p>
    <w:p w14:paraId="274B0942">
      <w:pPr>
        <w:pStyle w:val="38"/>
        <w:spacing w:line="520" w:lineRule="exact"/>
        <w:rPr>
          <w:rFonts w:hint="eastAsia"/>
          <w:lang w:val="zh-CN"/>
        </w:rPr>
      </w:pPr>
      <w:r>
        <w:rPr>
          <w:rFonts w:hint="eastAsia"/>
          <w:lang w:val="zh-CN"/>
        </w:rPr>
        <w:t>致：汉源县中医医院　</w:t>
      </w:r>
    </w:p>
    <w:p w14:paraId="21B75D88">
      <w:pPr>
        <w:pStyle w:val="39"/>
        <w:spacing w:line="520" w:lineRule="exact"/>
        <w:rPr>
          <w:rFonts w:hint="eastAsia"/>
        </w:rPr>
      </w:pPr>
      <w:r>
        <w:rPr>
          <w:rFonts w:hint="eastAsia"/>
        </w:rPr>
        <w:t>我方全面研究了“(项目名称</w:t>
      </w:r>
      <w:r>
        <w:rPr>
          <w:rFonts w:hint="eastAsia"/>
          <w:lang w:eastAsia="zh-CN"/>
        </w:rPr>
        <w:t>：</w:t>
      </w:r>
      <w:r>
        <w:rPr>
          <w:rFonts w:hint="eastAsia"/>
          <w:u w:val="single"/>
          <w:lang w:val="en-US" w:eastAsia="zh-CN"/>
        </w:rPr>
        <w:t xml:space="preserve">         </w:t>
      </w:r>
      <w:r>
        <w:rPr>
          <w:rFonts w:hint="eastAsia"/>
        </w:rPr>
        <w:t>)(项目编号</w:t>
      </w:r>
      <w:r>
        <w:rPr>
          <w:rFonts w:hint="eastAsia"/>
          <w:u w:val="single"/>
          <w:lang w:eastAsia="zh-CN"/>
        </w:rPr>
        <w:t>：</w:t>
      </w:r>
      <w:r>
        <w:rPr>
          <w:rFonts w:hint="eastAsia"/>
          <w:u w:val="single"/>
          <w:lang w:val="en-US" w:eastAsia="zh-CN"/>
        </w:rPr>
        <w:t xml:space="preserve">     </w:t>
      </w:r>
      <w:r>
        <w:rPr>
          <w:rFonts w:hint="eastAsia"/>
        </w:rPr>
        <w:t>)”的磋商文件，决定参加贵单位组织的本项目采购活动。我方授权</w:t>
      </w:r>
      <w:r>
        <w:rPr>
          <w:rFonts w:hint="eastAsia"/>
          <w:u w:val="single"/>
          <w:lang w:val="en-US" w:eastAsia="zh-CN"/>
        </w:rPr>
        <w:t xml:space="preserve">       </w:t>
      </w:r>
      <w:r>
        <w:rPr>
          <w:rFonts w:hint="eastAsia"/>
        </w:rPr>
        <w:t>(姓名、职务)代表我方</w:t>
      </w:r>
      <w:r>
        <w:rPr>
          <w:rFonts w:hint="eastAsia"/>
          <w:u w:val="single"/>
          <w:lang w:val="en-US" w:eastAsia="zh-CN"/>
        </w:rPr>
        <w:t xml:space="preserve">          </w:t>
      </w:r>
      <w:r>
        <w:rPr>
          <w:rFonts w:hint="eastAsia"/>
        </w:rPr>
        <w:t>(供应商名称)全权处理本项目磋商的有关事宜。</w:t>
      </w:r>
    </w:p>
    <w:p w14:paraId="7AE89CFD">
      <w:pPr>
        <w:pStyle w:val="46"/>
        <w:numPr>
          <w:ilvl w:val="2"/>
          <w:numId w:val="13"/>
        </w:numPr>
        <w:spacing w:line="520" w:lineRule="exact"/>
        <w:ind w:firstLine="480"/>
        <w:rPr>
          <w:rFonts w:hint="eastAsia"/>
        </w:rPr>
      </w:pPr>
      <w:r>
        <w:rPr>
          <w:rFonts w:hint="eastAsia"/>
        </w:rPr>
        <w:t>我方自愿按照磋商文件规定的各项要求向采购人提供所需相应服务，履约时间为</w:t>
      </w:r>
      <w:r>
        <w:rPr>
          <w:rFonts w:hint="eastAsia"/>
          <w:u w:val="single"/>
          <w:lang w:val="en-US" w:eastAsia="zh-CN"/>
        </w:rPr>
        <w:t xml:space="preserve">       </w:t>
      </w:r>
      <w:r>
        <w:rPr>
          <w:rFonts w:hint="eastAsia"/>
          <w:lang w:val="en-US" w:eastAsia="zh-CN"/>
        </w:rPr>
        <w:t xml:space="preserve"> </w:t>
      </w:r>
      <w:r>
        <w:rPr>
          <w:rFonts w:hint="eastAsia"/>
        </w:rPr>
        <w:t>。</w:t>
      </w:r>
    </w:p>
    <w:p w14:paraId="43673FC3">
      <w:pPr>
        <w:pStyle w:val="46"/>
        <w:numPr>
          <w:ilvl w:val="2"/>
          <w:numId w:val="13"/>
        </w:numPr>
        <w:spacing w:line="520" w:lineRule="exact"/>
        <w:ind w:firstLine="480"/>
        <w:rPr>
          <w:rFonts w:hint="eastAsia"/>
        </w:rPr>
      </w:pPr>
      <w:r>
        <w:rPr>
          <w:rFonts w:hint="eastAsia"/>
        </w:rPr>
        <w:t>我方承诺：磋商有效期为</w:t>
      </w:r>
      <w:r>
        <w:rPr>
          <w:rFonts w:hint="eastAsia"/>
          <w:u w:val="single"/>
          <w:lang w:val="en-US" w:eastAsia="zh-CN"/>
        </w:rPr>
        <w:t xml:space="preserve">     </w:t>
      </w:r>
      <w:r>
        <w:rPr>
          <w:rFonts w:hint="eastAsia"/>
        </w:rPr>
        <w:t>，在此期间内不修改、撤销响应文件。</w:t>
      </w:r>
    </w:p>
    <w:p w14:paraId="1899BE7E">
      <w:pPr>
        <w:pStyle w:val="46"/>
        <w:numPr>
          <w:ilvl w:val="2"/>
          <w:numId w:val="13"/>
        </w:numPr>
        <w:spacing w:line="520" w:lineRule="exact"/>
        <w:ind w:firstLine="480"/>
        <w:rPr>
          <w:rFonts w:hint="eastAsia"/>
        </w:rPr>
      </w:pPr>
      <w:r>
        <w:rPr>
          <w:rFonts w:hint="eastAsia"/>
        </w:rPr>
        <w:t>如我方成交：</w:t>
      </w:r>
    </w:p>
    <w:p w14:paraId="25E65BA0">
      <w:pPr>
        <w:pStyle w:val="47"/>
        <w:numPr>
          <w:ilvl w:val="3"/>
          <w:numId w:val="14"/>
        </w:numPr>
        <w:spacing w:line="520" w:lineRule="exact"/>
        <w:ind w:firstLine="480"/>
        <w:rPr>
          <w:rFonts w:hint="eastAsia"/>
        </w:rPr>
      </w:pPr>
      <w:r>
        <w:rPr>
          <w:rFonts w:hint="eastAsia"/>
        </w:rPr>
        <w:t>我方承诺积极配合采购人办理领取成交通知书事宜，同时在收到成交通知书后，在规定的期限内与采购人签订合同。</w:t>
      </w:r>
    </w:p>
    <w:p w14:paraId="0F45874C">
      <w:pPr>
        <w:pStyle w:val="47"/>
        <w:numPr>
          <w:ilvl w:val="3"/>
          <w:numId w:val="14"/>
        </w:numPr>
        <w:spacing w:line="520" w:lineRule="exact"/>
        <w:ind w:firstLine="480"/>
        <w:rPr>
          <w:rFonts w:hint="eastAsia"/>
        </w:rPr>
      </w:pPr>
      <w:r>
        <w:rPr>
          <w:rFonts w:hint="eastAsia"/>
        </w:rPr>
        <w:t>我方将严格履行采购合同规定的责任和义务。</w:t>
      </w:r>
    </w:p>
    <w:p w14:paraId="7AA34FDB">
      <w:pPr>
        <w:pStyle w:val="47"/>
        <w:numPr>
          <w:ilvl w:val="3"/>
          <w:numId w:val="14"/>
        </w:numPr>
        <w:spacing w:line="520" w:lineRule="exact"/>
        <w:ind w:firstLine="480"/>
        <w:rPr>
          <w:rFonts w:hint="eastAsia"/>
        </w:rPr>
      </w:pPr>
      <w:r>
        <w:rPr>
          <w:rFonts w:hint="eastAsia"/>
        </w:rPr>
        <w:t>我方愿意提供贵单位可能另外要求的，与磋商报价有关的文件资料，并保证我方已提供和将要提供的文件资料是真实、准确的。</w:t>
      </w:r>
    </w:p>
    <w:p w14:paraId="0825B3ED">
      <w:pPr>
        <w:pStyle w:val="47"/>
        <w:numPr>
          <w:ilvl w:val="3"/>
          <w:numId w:val="14"/>
        </w:numPr>
        <w:spacing w:line="520" w:lineRule="exact"/>
        <w:ind w:firstLine="480"/>
        <w:rPr>
          <w:rFonts w:hint="eastAsia"/>
        </w:rPr>
      </w:pPr>
      <w:r>
        <w:rPr>
          <w:rFonts w:hint="eastAsia"/>
        </w:rPr>
        <w:t>我方自愿按照磋商文件规定的各项要求完成采购项目，最后报价以《最后报价表》为准，接受采购人按照采购合同约定金额支付采购资金。</w:t>
      </w:r>
    </w:p>
    <w:p w14:paraId="0FC9DF5E">
      <w:pPr>
        <w:pStyle w:val="46"/>
        <w:numPr>
          <w:ilvl w:val="2"/>
          <w:numId w:val="0"/>
        </w:numPr>
        <w:spacing w:line="520" w:lineRule="exact"/>
        <w:ind w:firstLine="420" w:firstLineChars="200"/>
        <w:rPr>
          <w:rFonts w:hint="eastAsia"/>
        </w:rPr>
      </w:pPr>
      <w:r>
        <w:rPr>
          <w:rFonts w:hint="eastAsia"/>
        </w:rPr>
        <w:t>4.我方在参加本次政府采购活动中，涉及的询问、邮寄(快递)成交通知书等采购相关文书资料送达地址为：</w:t>
      </w:r>
      <w:r>
        <w:rPr>
          <w:rFonts w:hint="eastAsia"/>
          <w:u w:val="single"/>
          <w:lang w:val="en-US" w:eastAsia="zh-CN"/>
        </w:rPr>
        <w:t xml:space="preserve">      </w:t>
      </w:r>
      <w:r>
        <w:rPr>
          <w:rFonts w:hint="eastAsia"/>
        </w:rPr>
        <w:t>；联系人：</w:t>
      </w:r>
      <w:r>
        <w:rPr>
          <w:rFonts w:hint="eastAsia"/>
          <w:u w:val="single"/>
          <w:lang w:val="en-US" w:eastAsia="zh-CN"/>
        </w:rPr>
        <w:t xml:space="preserve">     </w:t>
      </w:r>
      <w:r>
        <w:rPr>
          <w:rFonts w:hint="eastAsia"/>
        </w:rPr>
        <w:t>；联系电话：</w:t>
      </w:r>
      <w:r>
        <w:rPr>
          <w:rFonts w:hint="eastAsia"/>
          <w:u w:val="single"/>
          <w:lang w:val="en-US" w:eastAsia="zh-CN"/>
        </w:rPr>
        <w:t xml:space="preserve">      </w:t>
      </w:r>
      <w:r>
        <w:rPr>
          <w:rFonts w:hint="eastAsia"/>
        </w:rPr>
        <w:t>，如在采购结果公告发布前变更送达地址的，将及时以书面方式告知贵公司。</w:t>
      </w:r>
    </w:p>
    <w:p w14:paraId="356B8A51">
      <w:pPr>
        <w:pStyle w:val="46"/>
        <w:numPr>
          <w:ilvl w:val="2"/>
          <w:numId w:val="0"/>
        </w:numPr>
        <w:spacing w:line="520" w:lineRule="exact"/>
        <w:ind w:firstLine="420" w:firstLineChars="200"/>
        <w:rPr>
          <w:rFonts w:hint="eastAsia"/>
        </w:rPr>
      </w:pPr>
      <w:r>
        <w:rPr>
          <w:rFonts w:hint="eastAsia"/>
        </w:rPr>
        <w:t>4.1我方承诺：如未提供自己的送达地址，经采购人告知后仍不提供的，自然人以其户籍登记中的住所地为送达地址</w:t>
      </w:r>
      <w:r>
        <w:rPr>
          <w:rFonts w:hint="eastAsia"/>
          <w:lang w:eastAsia="zh-CN"/>
        </w:rPr>
        <w:t>；</w:t>
      </w:r>
      <w:r>
        <w:rPr>
          <w:rFonts w:hint="eastAsia"/>
        </w:rPr>
        <w:t>法人或者其他组织以其工商登记或者其他依法登记、备案中的住所地为送达地址。</w:t>
      </w:r>
    </w:p>
    <w:p w14:paraId="7CBDE6B1">
      <w:pPr>
        <w:pStyle w:val="46"/>
        <w:numPr>
          <w:ilvl w:val="2"/>
          <w:numId w:val="0"/>
        </w:numPr>
        <w:spacing w:line="520" w:lineRule="exact"/>
        <w:ind w:firstLine="420" w:firstLineChars="200"/>
        <w:rPr>
          <w:rFonts w:hint="eastAsia"/>
        </w:rPr>
      </w:pPr>
      <w:r>
        <w:rPr>
          <w:rFonts w:hint="eastAsia"/>
        </w:rPr>
        <w:t>4.2因我方提供的送达地址不准确、拒不提供送达地址、送达地址变更未及时告知采购人、受送达人本人或者受送达人指定的代收人拒绝签收，导致采购文书等资料未能被受送达人实际接收的，采购文书退回之日视为送达之日。邮寄送达的，邮件回执上注明的退回之日视为送达之日；直接送达的，送达人当场在送达回执上签收之日视为送达之日。</w:t>
      </w:r>
    </w:p>
    <w:p w14:paraId="1FC46ABB">
      <w:pPr>
        <w:pStyle w:val="46"/>
        <w:numPr>
          <w:ilvl w:val="2"/>
          <w:numId w:val="0"/>
        </w:numPr>
        <w:spacing w:line="520" w:lineRule="exact"/>
        <w:ind w:firstLine="420" w:firstLineChars="200"/>
        <w:rPr>
          <w:rFonts w:hint="eastAsia"/>
        </w:rPr>
      </w:pPr>
      <w:r>
        <w:rPr>
          <w:rFonts w:hint="eastAsia"/>
        </w:rPr>
        <w:t>5.我方如对磋商文件有异议，已经在响应文件递交截止时间届满前依法进行维权救济，不存在对磋商文件有异议的同时又参加磋商以求侥幸成交或者为实现其他非法目的的行为。</w:t>
      </w:r>
    </w:p>
    <w:p w14:paraId="0BF2D475">
      <w:pPr>
        <w:pStyle w:val="38"/>
        <w:ind w:firstLine="420" w:firstLineChars="200"/>
        <w:rPr>
          <w:rFonts w:hint="eastAsia"/>
        </w:rPr>
      </w:pPr>
    </w:p>
    <w:p w14:paraId="3DCDB4BF">
      <w:pPr>
        <w:pStyle w:val="46"/>
        <w:numPr>
          <w:ilvl w:val="2"/>
          <w:numId w:val="0"/>
        </w:numPr>
        <w:spacing w:line="520" w:lineRule="exact"/>
        <w:ind w:firstLine="420" w:firstLineChars="200"/>
        <w:rPr>
          <w:rFonts w:hint="eastAsia" w:cs="Times New Roman"/>
        </w:rPr>
      </w:pPr>
      <w:r>
        <w:rPr>
          <w:rFonts w:hint="eastAsia" w:cs="Times New Roman"/>
        </w:rPr>
        <w:t>供应商名称：(盖章)</w:t>
      </w:r>
    </w:p>
    <w:p w14:paraId="2987ECC5">
      <w:pPr>
        <w:pStyle w:val="46"/>
        <w:numPr>
          <w:ilvl w:val="2"/>
          <w:numId w:val="0"/>
        </w:numPr>
        <w:spacing w:line="520" w:lineRule="exact"/>
        <w:ind w:firstLine="420" w:firstLineChars="200"/>
        <w:rPr>
          <w:rFonts w:hint="eastAsia" w:cs="Times New Roman"/>
        </w:rPr>
      </w:pPr>
      <w:r>
        <w:rPr>
          <w:rFonts w:hint="eastAsia" w:cs="Times New Roman"/>
        </w:rPr>
        <w:t>法定代表人/单位负责人或授权代表：(签字或盖章)</w:t>
      </w:r>
    </w:p>
    <w:p w14:paraId="2D52B09E">
      <w:pPr>
        <w:pStyle w:val="46"/>
        <w:numPr>
          <w:ilvl w:val="2"/>
          <w:numId w:val="0"/>
        </w:numPr>
        <w:spacing w:line="520" w:lineRule="exact"/>
        <w:ind w:firstLine="420" w:firstLineChars="200"/>
        <w:rPr>
          <w:rFonts w:hint="eastAsia" w:cs="Times New Roman"/>
        </w:rPr>
      </w:pPr>
      <w:r>
        <w:rPr>
          <w:rFonts w:hint="eastAsia" w:cs="Times New Roman"/>
        </w:rPr>
        <w:t>邮政编码：</w:t>
      </w:r>
    </w:p>
    <w:p w14:paraId="0D1BE71B">
      <w:pPr>
        <w:pStyle w:val="46"/>
        <w:numPr>
          <w:ilvl w:val="2"/>
          <w:numId w:val="0"/>
        </w:numPr>
        <w:spacing w:line="520" w:lineRule="exact"/>
        <w:ind w:firstLine="420" w:firstLineChars="200"/>
        <w:rPr>
          <w:rFonts w:hint="eastAsia" w:cs="Times New Roman"/>
        </w:rPr>
      </w:pPr>
      <w:r>
        <w:rPr>
          <w:rFonts w:hint="eastAsia" w:cs="Times New Roman"/>
        </w:rPr>
        <w:t>联系人：</w:t>
      </w:r>
    </w:p>
    <w:p w14:paraId="0FA591B4">
      <w:pPr>
        <w:pStyle w:val="46"/>
        <w:numPr>
          <w:ilvl w:val="2"/>
          <w:numId w:val="0"/>
        </w:numPr>
        <w:spacing w:line="520" w:lineRule="exact"/>
        <w:ind w:firstLine="420" w:firstLineChars="200"/>
        <w:rPr>
          <w:rFonts w:hint="eastAsia" w:cs="Times New Roman"/>
        </w:rPr>
      </w:pPr>
      <w:r>
        <w:rPr>
          <w:rFonts w:hint="eastAsia" w:cs="Times New Roman"/>
        </w:rPr>
        <w:t>联系电话：</w:t>
      </w:r>
    </w:p>
    <w:p w14:paraId="0547C82A">
      <w:pPr>
        <w:pStyle w:val="46"/>
        <w:numPr>
          <w:ilvl w:val="2"/>
          <w:numId w:val="0"/>
        </w:numPr>
        <w:spacing w:line="520" w:lineRule="exact"/>
        <w:ind w:firstLine="420" w:firstLineChars="200"/>
        <w:rPr>
          <w:rFonts w:hint="eastAsia" w:cs="Times New Roman"/>
        </w:rPr>
      </w:pPr>
      <w:r>
        <w:rPr>
          <w:rFonts w:hint="eastAsia" w:cs="Times New Roman"/>
        </w:rPr>
        <w:t>日期：</w:t>
      </w:r>
    </w:p>
    <w:p w14:paraId="3CE289C7">
      <w:pPr>
        <w:numPr>
          <w:ilvl w:val="0"/>
          <w:numId w:val="12"/>
        </w:numPr>
        <w:tabs>
          <w:tab w:val="left" w:pos="0"/>
        </w:tabs>
        <w:jc w:val="center"/>
        <w:outlineLvl w:val="2"/>
      </w:pPr>
      <w:r>
        <w:rPr>
          <w:rFonts w:hint="eastAsia"/>
        </w:rPr>
        <w:br w:type="page"/>
      </w:r>
      <w:bookmarkStart w:id="159" w:name="_Toc30669"/>
      <w:bookmarkStart w:id="160" w:name="_Toc22640"/>
      <w:r>
        <w:rPr>
          <w:rFonts w:hint="eastAsia"/>
          <w:b/>
          <w:snapToGrid w:val="0"/>
          <w:sz w:val="28"/>
        </w:rPr>
        <w:t>承诺函</w:t>
      </w:r>
      <w:bookmarkEnd w:id="159"/>
      <w:bookmarkEnd w:id="160"/>
    </w:p>
    <w:p w14:paraId="701E2461">
      <w:pPr>
        <w:pStyle w:val="38"/>
        <w:spacing w:line="520" w:lineRule="exact"/>
        <w:rPr>
          <w:rFonts w:hint="eastAsia"/>
        </w:rPr>
      </w:pPr>
      <w:r>
        <w:rPr>
          <w:rFonts w:hint="eastAsia"/>
          <w:lang w:eastAsia="zh-CN"/>
        </w:rPr>
        <w:t>致：汉源县中医医院</w:t>
      </w:r>
    </w:p>
    <w:p w14:paraId="79EA7CC9">
      <w:pPr>
        <w:pStyle w:val="39"/>
        <w:spacing w:line="520" w:lineRule="exact"/>
        <w:rPr>
          <w:rFonts w:hint="eastAsia"/>
        </w:rPr>
      </w:pPr>
      <w:r>
        <w:rPr>
          <w:rFonts w:hint="eastAsia"/>
        </w:rPr>
        <w:t>我方作为本次采购项目的供应商，根据磋商文件要求，现郑重承诺及声明如下：</w:t>
      </w:r>
    </w:p>
    <w:p w14:paraId="19964633">
      <w:pPr>
        <w:pStyle w:val="46"/>
        <w:numPr>
          <w:ilvl w:val="2"/>
          <w:numId w:val="15"/>
        </w:numPr>
        <w:spacing w:line="520" w:lineRule="exact"/>
        <w:ind w:firstLine="480"/>
        <w:rPr>
          <w:rFonts w:hint="eastAsia"/>
        </w:rPr>
      </w:pPr>
      <w:r>
        <w:rPr>
          <w:rFonts w:hint="eastAsia"/>
        </w:rPr>
        <w:t>我方已认真阅读并接受本项目磋商文件的全部实质性要求。</w:t>
      </w:r>
    </w:p>
    <w:p w14:paraId="53F6E523">
      <w:pPr>
        <w:pStyle w:val="46"/>
        <w:numPr>
          <w:ilvl w:val="2"/>
          <w:numId w:val="15"/>
        </w:numPr>
        <w:spacing w:line="520" w:lineRule="exact"/>
        <w:ind w:firstLine="480"/>
        <w:rPr>
          <w:rFonts w:hint="eastAsia"/>
        </w:rPr>
      </w:pPr>
      <w:r>
        <w:rPr>
          <w:rFonts w:hint="eastAsia"/>
        </w:rPr>
        <w:t>我方参加本次采购活动，不存在与单位负责人为同一人或者存在直接控股、管理关系的其他供应商参与同一合同项下的政府采购活动的行为。</w:t>
      </w:r>
      <w:r>
        <w:rPr>
          <w:rFonts w:hint="eastAsia"/>
          <w:szCs w:val="24"/>
        </w:rPr>
        <w:t>与我方存在直接控股关系的单位为：</w:t>
      </w:r>
      <w:r>
        <w:rPr>
          <w:rFonts w:hint="eastAsia"/>
          <w:szCs w:val="24"/>
          <w:u w:val="single"/>
          <w:lang w:val="en-US" w:eastAsia="zh-CN"/>
        </w:rPr>
        <w:t xml:space="preserve">      </w:t>
      </w:r>
      <w:r>
        <w:rPr>
          <w:rFonts w:hint="eastAsia"/>
          <w:szCs w:val="24"/>
        </w:rPr>
        <w:t>；存在管理关系的单位为：</w:t>
      </w:r>
      <w:r>
        <w:rPr>
          <w:rFonts w:hint="eastAsia"/>
          <w:szCs w:val="24"/>
          <w:u w:val="single"/>
          <w:lang w:val="en-US" w:eastAsia="zh-CN"/>
        </w:rPr>
        <w:t xml:space="preserve">      </w:t>
      </w:r>
      <w:r>
        <w:rPr>
          <w:rFonts w:hint="eastAsia"/>
          <w:szCs w:val="24"/>
        </w:rPr>
        <w:t>(如不存在直接控股、管理关系的相关供应商填“无”)。</w:t>
      </w:r>
    </w:p>
    <w:p w14:paraId="35FF32D2">
      <w:pPr>
        <w:pStyle w:val="46"/>
        <w:numPr>
          <w:ilvl w:val="2"/>
          <w:numId w:val="15"/>
        </w:numPr>
        <w:spacing w:line="520" w:lineRule="exact"/>
        <w:ind w:firstLine="480"/>
        <w:rPr>
          <w:rFonts w:hint="eastAsia"/>
        </w:rPr>
      </w:pPr>
      <w:r>
        <w:rPr>
          <w:rFonts w:hint="eastAsia"/>
        </w:rPr>
        <w:t>我方参加本次采购活动前本单位未对本次采购项目提供过整体设计、规范编制或者项目管理、监理、检测等服务。</w:t>
      </w:r>
    </w:p>
    <w:p w14:paraId="5E98861D">
      <w:pPr>
        <w:pStyle w:val="46"/>
        <w:numPr>
          <w:ilvl w:val="2"/>
          <w:numId w:val="15"/>
        </w:numPr>
        <w:spacing w:line="520" w:lineRule="exact"/>
        <w:ind w:firstLine="480"/>
        <w:rPr>
          <w:rFonts w:hint="eastAsia"/>
        </w:rPr>
      </w:pPr>
      <w:r>
        <w:rPr>
          <w:rFonts w:hint="eastAsia"/>
        </w:rPr>
        <w:t>我方参加本次采购活动，不存在同一母公司的两家以上的子公司以不同供应商身份同时参加本项目同一合同项下的采购活动的情形。</w:t>
      </w:r>
    </w:p>
    <w:p w14:paraId="02F710A6">
      <w:pPr>
        <w:pStyle w:val="46"/>
        <w:numPr>
          <w:ilvl w:val="2"/>
          <w:numId w:val="15"/>
        </w:numPr>
        <w:spacing w:line="520" w:lineRule="exact"/>
        <w:ind w:firstLine="480"/>
        <w:rPr>
          <w:rFonts w:hint="eastAsia"/>
        </w:rPr>
      </w:pPr>
      <w:r>
        <w:rPr>
          <w:rFonts w:hint="eastAsia"/>
        </w:rPr>
        <w:t>我方参加本次采购活动，与采购人不存在关联关系。</w:t>
      </w:r>
    </w:p>
    <w:p w14:paraId="2D8C5E2C">
      <w:pPr>
        <w:pStyle w:val="46"/>
        <w:numPr>
          <w:ilvl w:val="2"/>
          <w:numId w:val="15"/>
        </w:numPr>
        <w:spacing w:line="520" w:lineRule="exact"/>
        <w:ind w:firstLine="480"/>
        <w:rPr>
          <w:rFonts w:hint="eastAsia"/>
        </w:rPr>
      </w:pPr>
      <w:r>
        <w:rPr>
          <w:rFonts w:hint="eastAsia"/>
        </w:rPr>
        <w:t>我方参加本次采购活动，不存在和其他供应商在同一合同项下的采购项目中，同时委托同一个自然人、同一家庭的人员、同一单位的人员作为代理人的行为。</w:t>
      </w:r>
    </w:p>
    <w:p w14:paraId="7D8292A7">
      <w:pPr>
        <w:pStyle w:val="46"/>
        <w:numPr>
          <w:ilvl w:val="2"/>
          <w:numId w:val="15"/>
        </w:numPr>
        <w:spacing w:line="520" w:lineRule="exact"/>
        <w:ind w:firstLine="480"/>
        <w:rPr>
          <w:rFonts w:hint="eastAsia"/>
        </w:rPr>
      </w:pPr>
      <w:r>
        <w:rPr>
          <w:rFonts w:hint="eastAsia"/>
        </w:rPr>
        <w:t>我方响应文件中提供的任何资料和技术、服务、商务等响应承诺情况都是真实的、有效的、合法的。</w:t>
      </w:r>
    </w:p>
    <w:p w14:paraId="3965EA92">
      <w:pPr>
        <w:pStyle w:val="46"/>
        <w:numPr>
          <w:ilvl w:val="2"/>
          <w:numId w:val="15"/>
        </w:numPr>
        <w:spacing w:line="520" w:lineRule="exact"/>
        <w:ind w:firstLine="480"/>
        <w:rPr>
          <w:rFonts w:hint="eastAsia"/>
          <w:color w:val="000000"/>
        </w:rPr>
      </w:pPr>
      <w:r>
        <w:rPr>
          <w:rFonts w:hint="eastAsia"/>
          <w:color w:val="000000"/>
        </w:rPr>
        <w:t>我方参加本次采购活动，我方完全同意竞争性磋商文件中关于“磋商费用”、“合同分包”、“合同转包”、</w:t>
      </w:r>
      <w:r>
        <w:rPr>
          <w:rFonts w:hint="eastAsia"/>
        </w:rPr>
        <w:t>“合同定价方式”、</w:t>
      </w:r>
      <w:r>
        <w:rPr>
          <w:rFonts w:hint="eastAsia"/>
          <w:color w:val="000000"/>
        </w:rPr>
        <w:t>“履约验收、质量要求”等实质性要求，并承诺严格按照竞争性磋商文件采购合同要求履行。</w:t>
      </w:r>
    </w:p>
    <w:p w14:paraId="4CB78406">
      <w:pPr>
        <w:pStyle w:val="46"/>
        <w:numPr>
          <w:ilvl w:val="2"/>
          <w:numId w:val="15"/>
        </w:numPr>
        <w:spacing w:line="520" w:lineRule="exact"/>
        <w:ind w:firstLine="480"/>
        <w:rPr>
          <w:rFonts w:hint="eastAsia"/>
        </w:rPr>
      </w:pPr>
      <w:r>
        <w:rPr>
          <w:rFonts w:hint="eastAsia"/>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相关技术文档，并提供无限期技术支持，采购人享有永久使用权(含采购人委托第三方在该项目后续开发的使用权)。如我方在项目实施过程中采用非自有的知识产权，则在报价中已包括合法获取该知识产权的相关费用。</w:t>
      </w:r>
    </w:p>
    <w:p w14:paraId="3F564EB7">
      <w:pPr>
        <w:pStyle w:val="39"/>
        <w:spacing w:line="520" w:lineRule="exact"/>
        <w:rPr>
          <w:rFonts w:hint="eastAsia"/>
        </w:rPr>
      </w:pPr>
      <w:r>
        <w:rPr>
          <w:rFonts w:hint="eastAsia"/>
        </w:rPr>
        <w:t>本公司对上述承诺的内容事项真实性、合法性负责。如经查实上述承诺的内容事项存在虚假，我公司自愿接受以提供虚假材料谋取成交所带来的所有法律责任。</w:t>
      </w:r>
    </w:p>
    <w:p w14:paraId="6D576B74">
      <w:pPr>
        <w:pStyle w:val="38"/>
        <w:rPr>
          <w:rFonts w:hint="eastAsia"/>
        </w:rPr>
      </w:pPr>
    </w:p>
    <w:p w14:paraId="197C2892">
      <w:pPr>
        <w:pStyle w:val="39"/>
        <w:rPr>
          <w:rFonts w:hint="eastAsia"/>
        </w:rPr>
      </w:pPr>
      <w:r>
        <w:rPr>
          <w:rFonts w:hint="eastAsia"/>
        </w:rPr>
        <w:t>供应商名称：(盖章)</w:t>
      </w:r>
    </w:p>
    <w:p w14:paraId="55B67508">
      <w:pPr>
        <w:pStyle w:val="39"/>
        <w:rPr>
          <w:rFonts w:hint="eastAsia"/>
        </w:rPr>
      </w:pPr>
      <w:r>
        <w:rPr>
          <w:rFonts w:hint="eastAsia"/>
        </w:rPr>
        <w:t>法定代表人/单位负责人或授权代表：(签字或盖章)</w:t>
      </w:r>
    </w:p>
    <w:p w14:paraId="02762730">
      <w:pPr>
        <w:pStyle w:val="39"/>
        <w:rPr>
          <w:rFonts w:hint="eastAsia"/>
        </w:rPr>
      </w:pPr>
      <w:r>
        <w:rPr>
          <w:rFonts w:hint="eastAsia"/>
        </w:rPr>
        <w:t>日期：</w:t>
      </w:r>
    </w:p>
    <w:p w14:paraId="0BBBD7A4">
      <w:pPr>
        <w:tabs>
          <w:tab w:val="left" w:pos="0"/>
        </w:tabs>
        <w:jc w:val="center"/>
        <w:outlineLvl w:val="2"/>
        <w:rPr>
          <w:rFonts w:hint="eastAsia"/>
        </w:rPr>
      </w:pPr>
      <w:r>
        <w:rPr>
          <w:rFonts w:hint="eastAsia"/>
        </w:rPr>
        <w:br w:type="page"/>
      </w:r>
      <w:r>
        <w:rPr>
          <w:rFonts w:hint="eastAsia"/>
          <w:b/>
          <w:snapToGrid w:val="0"/>
          <w:sz w:val="28"/>
        </w:rPr>
        <w:t>四、供应商基本情况表</w:t>
      </w:r>
      <w:bookmarkEnd w:id="152"/>
      <w:bookmarkEnd w:id="153"/>
      <w:bookmarkEnd w:id="154"/>
      <w:bookmarkEnd w:id="155"/>
      <w:bookmarkEnd w:id="156"/>
      <w:bookmarkEnd w:id="157"/>
      <w:bookmarkEnd w:id="158"/>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14:paraId="225B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7524908E">
            <w:pPr>
              <w:pStyle w:val="48"/>
              <w:spacing w:line="480" w:lineRule="exact"/>
              <w:rPr>
                <w:rFonts w:hint="eastAsia"/>
              </w:rPr>
            </w:pPr>
            <w:r>
              <w:rPr>
                <w:rFonts w:hint="eastAsia"/>
              </w:rPr>
              <w:t>供应商名称</w:t>
            </w:r>
          </w:p>
        </w:tc>
        <w:tc>
          <w:tcPr>
            <w:tcW w:w="8186" w:type="dxa"/>
            <w:gridSpan w:val="7"/>
            <w:noWrap w:val="0"/>
            <w:vAlign w:val="center"/>
          </w:tcPr>
          <w:p w14:paraId="6FEC435C">
            <w:pPr>
              <w:pStyle w:val="48"/>
              <w:spacing w:line="480" w:lineRule="exact"/>
              <w:rPr>
                <w:rFonts w:hint="eastAsia"/>
              </w:rPr>
            </w:pPr>
          </w:p>
        </w:tc>
      </w:tr>
      <w:tr w14:paraId="1926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722F1DE0">
            <w:pPr>
              <w:pStyle w:val="48"/>
              <w:spacing w:line="480" w:lineRule="exact"/>
              <w:rPr>
                <w:rFonts w:hint="eastAsia"/>
              </w:rPr>
            </w:pPr>
            <w:r>
              <w:rPr>
                <w:rFonts w:hint="eastAsia"/>
              </w:rPr>
              <w:t>注册地址</w:t>
            </w:r>
          </w:p>
        </w:tc>
        <w:tc>
          <w:tcPr>
            <w:tcW w:w="4012" w:type="dxa"/>
            <w:gridSpan w:val="3"/>
            <w:noWrap w:val="0"/>
            <w:vAlign w:val="center"/>
          </w:tcPr>
          <w:p w14:paraId="749BED15">
            <w:pPr>
              <w:pStyle w:val="48"/>
              <w:spacing w:line="480" w:lineRule="exact"/>
              <w:rPr>
                <w:rFonts w:hint="eastAsia"/>
              </w:rPr>
            </w:pPr>
          </w:p>
        </w:tc>
        <w:tc>
          <w:tcPr>
            <w:tcW w:w="1548" w:type="dxa"/>
            <w:noWrap w:val="0"/>
            <w:vAlign w:val="center"/>
          </w:tcPr>
          <w:p w14:paraId="01DBF932">
            <w:pPr>
              <w:pStyle w:val="48"/>
              <w:spacing w:line="480" w:lineRule="exact"/>
              <w:rPr>
                <w:rFonts w:hint="eastAsia"/>
              </w:rPr>
            </w:pPr>
            <w:r>
              <w:rPr>
                <w:rFonts w:hint="eastAsia"/>
              </w:rPr>
              <w:t>邮政编码</w:t>
            </w:r>
          </w:p>
        </w:tc>
        <w:tc>
          <w:tcPr>
            <w:tcW w:w="2626" w:type="dxa"/>
            <w:gridSpan w:val="3"/>
            <w:noWrap w:val="0"/>
            <w:vAlign w:val="center"/>
          </w:tcPr>
          <w:p w14:paraId="62E95359">
            <w:pPr>
              <w:pStyle w:val="48"/>
              <w:spacing w:line="480" w:lineRule="exact"/>
              <w:rPr>
                <w:rFonts w:hint="eastAsia"/>
              </w:rPr>
            </w:pPr>
          </w:p>
        </w:tc>
      </w:tr>
      <w:tr w14:paraId="69D3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noWrap w:val="0"/>
            <w:vAlign w:val="center"/>
          </w:tcPr>
          <w:p w14:paraId="312F7F81">
            <w:pPr>
              <w:pStyle w:val="48"/>
              <w:spacing w:line="480" w:lineRule="exact"/>
              <w:rPr>
                <w:rFonts w:hint="eastAsia"/>
              </w:rPr>
            </w:pPr>
            <w:r>
              <w:rPr>
                <w:rFonts w:hint="eastAsia"/>
              </w:rPr>
              <w:t>联系方式</w:t>
            </w:r>
          </w:p>
        </w:tc>
        <w:tc>
          <w:tcPr>
            <w:tcW w:w="1125" w:type="dxa"/>
            <w:noWrap w:val="0"/>
            <w:vAlign w:val="center"/>
          </w:tcPr>
          <w:p w14:paraId="4A3D039B">
            <w:pPr>
              <w:pStyle w:val="48"/>
              <w:spacing w:line="480" w:lineRule="exact"/>
              <w:rPr>
                <w:rFonts w:hint="eastAsia"/>
              </w:rPr>
            </w:pPr>
            <w:r>
              <w:rPr>
                <w:rFonts w:hint="eastAsia"/>
              </w:rPr>
              <w:t>联系人</w:t>
            </w:r>
          </w:p>
        </w:tc>
        <w:tc>
          <w:tcPr>
            <w:tcW w:w="2887" w:type="dxa"/>
            <w:gridSpan w:val="2"/>
            <w:noWrap w:val="0"/>
            <w:vAlign w:val="center"/>
          </w:tcPr>
          <w:p w14:paraId="485384C8">
            <w:pPr>
              <w:pStyle w:val="48"/>
              <w:spacing w:line="480" w:lineRule="exact"/>
              <w:rPr>
                <w:rFonts w:hint="eastAsia"/>
              </w:rPr>
            </w:pPr>
          </w:p>
        </w:tc>
        <w:tc>
          <w:tcPr>
            <w:tcW w:w="1548" w:type="dxa"/>
            <w:noWrap w:val="0"/>
            <w:vAlign w:val="center"/>
          </w:tcPr>
          <w:p w14:paraId="0F4A2EC4">
            <w:pPr>
              <w:pStyle w:val="48"/>
              <w:spacing w:line="480" w:lineRule="exact"/>
              <w:rPr>
                <w:rFonts w:hint="eastAsia"/>
              </w:rPr>
            </w:pPr>
            <w:r>
              <w:rPr>
                <w:rFonts w:hint="eastAsia"/>
              </w:rPr>
              <w:t>电话</w:t>
            </w:r>
          </w:p>
        </w:tc>
        <w:tc>
          <w:tcPr>
            <w:tcW w:w="2626" w:type="dxa"/>
            <w:gridSpan w:val="3"/>
            <w:noWrap w:val="0"/>
            <w:vAlign w:val="center"/>
          </w:tcPr>
          <w:p w14:paraId="713BE2CA">
            <w:pPr>
              <w:pStyle w:val="48"/>
              <w:spacing w:line="480" w:lineRule="exact"/>
              <w:rPr>
                <w:rFonts w:hint="eastAsia"/>
              </w:rPr>
            </w:pPr>
          </w:p>
        </w:tc>
      </w:tr>
      <w:tr w14:paraId="6AB4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noWrap w:val="0"/>
            <w:vAlign w:val="center"/>
          </w:tcPr>
          <w:p w14:paraId="1AEBA001">
            <w:pPr>
              <w:pStyle w:val="48"/>
              <w:spacing w:line="480" w:lineRule="exact"/>
              <w:rPr>
                <w:rFonts w:hint="eastAsia"/>
              </w:rPr>
            </w:pPr>
          </w:p>
        </w:tc>
        <w:tc>
          <w:tcPr>
            <w:tcW w:w="1125" w:type="dxa"/>
            <w:noWrap w:val="0"/>
            <w:vAlign w:val="center"/>
          </w:tcPr>
          <w:p w14:paraId="36F22551">
            <w:pPr>
              <w:pStyle w:val="48"/>
              <w:spacing w:line="480" w:lineRule="exact"/>
              <w:rPr>
                <w:rFonts w:hint="eastAsia"/>
              </w:rPr>
            </w:pPr>
            <w:r>
              <w:rPr>
                <w:rFonts w:hint="eastAsia"/>
              </w:rPr>
              <w:t>传真</w:t>
            </w:r>
          </w:p>
        </w:tc>
        <w:tc>
          <w:tcPr>
            <w:tcW w:w="2887" w:type="dxa"/>
            <w:gridSpan w:val="2"/>
            <w:noWrap w:val="0"/>
            <w:vAlign w:val="center"/>
          </w:tcPr>
          <w:p w14:paraId="264A5AD4">
            <w:pPr>
              <w:pStyle w:val="48"/>
              <w:spacing w:line="480" w:lineRule="exact"/>
              <w:rPr>
                <w:rFonts w:hint="eastAsia"/>
              </w:rPr>
            </w:pPr>
          </w:p>
        </w:tc>
        <w:tc>
          <w:tcPr>
            <w:tcW w:w="1548" w:type="dxa"/>
            <w:noWrap w:val="0"/>
            <w:vAlign w:val="center"/>
          </w:tcPr>
          <w:p w14:paraId="6ED58032">
            <w:pPr>
              <w:pStyle w:val="48"/>
              <w:spacing w:line="480" w:lineRule="exact"/>
              <w:rPr>
                <w:rFonts w:hint="eastAsia"/>
              </w:rPr>
            </w:pPr>
            <w:r>
              <w:rPr>
                <w:rFonts w:hint="eastAsia"/>
              </w:rPr>
              <w:t>网址</w:t>
            </w:r>
          </w:p>
        </w:tc>
        <w:tc>
          <w:tcPr>
            <w:tcW w:w="2626" w:type="dxa"/>
            <w:gridSpan w:val="3"/>
            <w:noWrap w:val="0"/>
            <w:vAlign w:val="center"/>
          </w:tcPr>
          <w:p w14:paraId="72264619">
            <w:pPr>
              <w:pStyle w:val="48"/>
              <w:spacing w:line="480" w:lineRule="exact"/>
              <w:rPr>
                <w:rFonts w:hint="eastAsia"/>
              </w:rPr>
            </w:pPr>
          </w:p>
        </w:tc>
      </w:tr>
      <w:tr w14:paraId="14A6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noWrap w:val="0"/>
            <w:vAlign w:val="center"/>
          </w:tcPr>
          <w:p w14:paraId="1D134FF2">
            <w:pPr>
              <w:pStyle w:val="48"/>
              <w:spacing w:line="480" w:lineRule="exact"/>
              <w:rPr>
                <w:rFonts w:hint="eastAsia"/>
              </w:rPr>
            </w:pPr>
            <w:r>
              <w:rPr>
                <w:rFonts w:hint="eastAsia"/>
              </w:rPr>
              <w:t>法定代表人</w:t>
            </w:r>
          </w:p>
        </w:tc>
        <w:tc>
          <w:tcPr>
            <w:tcW w:w="1125" w:type="dxa"/>
            <w:noWrap w:val="0"/>
            <w:vAlign w:val="center"/>
          </w:tcPr>
          <w:p w14:paraId="0AD64048">
            <w:pPr>
              <w:pStyle w:val="48"/>
              <w:spacing w:line="480" w:lineRule="exact"/>
              <w:rPr>
                <w:rFonts w:hint="eastAsia"/>
              </w:rPr>
            </w:pPr>
            <w:r>
              <w:rPr>
                <w:rFonts w:hint="eastAsia"/>
              </w:rPr>
              <w:t>姓名</w:t>
            </w:r>
          </w:p>
        </w:tc>
        <w:tc>
          <w:tcPr>
            <w:tcW w:w="1432" w:type="dxa"/>
            <w:noWrap w:val="0"/>
            <w:vAlign w:val="center"/>
          </w:tcPr>
          <w:p w14:paraId="78D805E3">
            <w:pPr>
              <w:pStyle w:val="48"/>
              <w:spacing w:line="480" w:lineRule="exact"/>
              <w:rPr>
                <w:rFonts w:hint="eastAsia"/>
              </w:rPr>
            </w:pPr>
          </w:p>
        </w:tc>
        <w:tc>
          <w:tcPr>
            <w:tcW w:w="1455" w:type="dxa"/>
            <w:noWrap w:val="0"/>
            <w:vAlign w:val="center"/>
          </w:tcPr>
          <w:p w14:paraId="0CFFBF56">
            <w:pPr>
              <w:pStyle w:val="48"/>
              <w:spacing w:line="480" w:lineRule="exact"/>
              <w:rPr>
                <w:rFonts w:hint="eastAsia"/>
              </w:rPr>
            </w:pPr>
            <w:r>
              <w:rPr>
                <w:rFonts w:hint="eastAsia"/>
              </w:rPr>
              <w:t>技术职称</w:t>
            </w:r>
          </w:p>
        </w:tc>
        <w:tc>
          <w:tcPr>
            <w:tcW w:w="1548" w:type="dxa"/>
            <w:noWrap w:val="0"/>
            <w:vAlign w:val="center"/>
          </w:tcPr>
          <w:p w14:paraId="46C1B19D">
            <w:pPr>
              <w:pStyle w:val="48"/>
              <w:spacing w:line="480" w:lineRule="exact"/>
              <w:rPr>
                <w:rFonts w:hint="eastAsia"/>
              </w:rPr>
            </w:pPr>
          </w:p>
        </w:tc>
        <w:tc>
          <w:tcPr>
            <w:tcW w:w="1364" w:type="dxa"/>
            <w:gridSpan w:val="2"/>
            <w:noWrap w:val="0"/>
            <w:vAlign w:val="center"/>
          </w:tcPr>
          <w:p w14:paraId="396C9D92">
            <w:pPr>
              <w:pStyle w:val="48"/>
              <w:spacing w:line="480" w:lineRule="exact"/>
              <w:rPr>
                <w:rFonts w:hint="eastAsia"/>
              </w:rPr>
            </w:pPr>
            <w:r>
              <w:rPr>
                <w:rFonts w:hint="eastAsia"/>
              </w:rPr>
              <w:t>电话</w:t>
            </w:r>
          </w:p>
        </w:tc>
        <w:tc>
          <w:tcPr>
            <w:tcW w:w="1262" w:type="dxa"/>
            <w:noWrap w:val="0"/>
            <w:vAlign w:val="center"/>
          </w:tcPr>
          <w:p w14:paraId="7BC89FA3">
            <w:pPr>
              <w:pStyle w:val="48"/>
              <w:spacing w:line="480" w:lineRule="exact"/>
              <w:rPr>
                <w:rFonts w:hint="eastAsia"/>
              </w:rPr>
            </w:pPr>
          </w:p>
        </w:tc>
      </w:tr>
      <w:tr w14:paraId="48B8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noWrap w:val="0"/>
            <w:vAlign w:val="center"/>
          </w:tcPr>
          <w:p w14:paraId="3B4963EE">
            <w:pPr>
              <w:pStyle w:val="48"/>
              <w:spacing w:line="480" w:lineRule="exact"/>
              <w:rPr>
                <w:rFonts w:hint="eastAsia"/>
              </w:rPr>
            </w:pPr>
            <w:r>
              <w:rPr>
                <w:rFonts w:hint="eastAsia"/>
              </w:rPr>
              <w:t>技术负责人</w:t>
            </w:r>
          </w:p>
        </w:tc>
        <w:tc>
          <w:tcPr>
            <w:tcW w:w="1125" w:type="dxa"/>
            <w:noWrap w:val="0"/>
            <w:vAlign w:val="center"/>
          </w:tcPr>
          <w:p w14:paraId="34AC48B9">
            <w:pPr>
              <w:pStyle w:val="48"/>
              <w:spacing w:line="480" w:lineRule="exact"/>
              <w:rPr>
                <w:rFonts w:hint="eastAsia"/>
              </w:rPr>
            </w:pPr>
            <w:r>
              <w:rPr>
                <w:rFonts w:hint="eastAsia"/>
              </w:rPr>
              <w:t>姓名</w:t>
            </w:r>
          </w:p>
        </w:tc>
        <w:tc>
          <w:tcPr>
            <w:tcW w:w="1432" w:type="dxa"/>
            <w:noWrap w:val="0"/>
            <w:vAlign w:val="center"/>
          </w:tcPr>
          <w:p w14:paraId="22A8C6C6">
            <w:pPr>
              <w:pStyle w:val="48"/>
              <w:spacing w:line="480" w:lineRule="exact"/>
              <w:rPr>
                <w:rFonts w:hint="eastAsia"/>
              </w:rPr>
            </w:pPr>
          </w:p>
        </w:tc>
        <w:tc>
          <w:tcPr>
            <w:tcW w:w="1455" w:type="dxa"/>
            <w:noWrap w:val="0"/>
            <w:vAlign w:val="center"/>
          </w:tcPr>
          <w:p w14:paraId="726B8642">
            <w:pPr>
              <w:pStyle w:val="48"/>
              <w:spacing w:line="480" w:lineRule="exact"/>
              <w:rPr>
                <w:rFonts w:hint="eastAsia"/>
              </w:rPr>
            </w:pPr>
            <w:r>
              <w:rPr>
                <w:rFonts w:hint="eastAsia"/>
              </w:rPr>
              <w:t>技术职称</w:t>
            </w:r>
          </w:p>
        </w:tc>
        <w:tc>
          <w:tcPr>
            <w:tcW w:w="1548" w:type="dxa"/>
            <w:noWrap w:val="0"/>
            <w:vAlign w:val="center"/>
          </w:tcPr>
          <w:p w14:paraId="653B44A1">
            <w:pPr>
              <w:pStyle w:val="48"/>
              <w:spacing w:line="480" w:lineRule="exact"/>
              <w:rPr>
                <w:rFonts w:hint="eastAsia"/>
              </w:rPr>
            </w:pPr>
          </w:p>
        </w:tc>
        <w:tc>
          <w:tcPr>
            <w:tcW w:w="1364" w:type="dxa"/>
            <w:gridSpan w:val="2"/>
            <w:noWrap w:val="0"/>
            <w:vAlign w:val="center"/>
          </w:tcPr>
          <w:p w14:paraId="2A4E5EE2">
            <w:pPr>
              <w:pStyle w:val="48"/>
              <w:spacing w:line="480" w:lineRule="exact"/>
              <w:rPr>
                <w:rFonts w:hint="eastAsia"/>
              </w:rPr>
            </w:pPr>
            <w:r>
              <w:rPr>
                <w:rFonts w:hint="eastAsia"/>
              </w:rPr>
              <w:t>电话</w:t>
            </w:r>
          </w:p>
        </w:tc>
        <w:tc>
          <w:tcPr>
            <w:tcW w:w="1262" w:type="dxa"/>
            <w:noWrap w:val="0"/>
            <w:vAlign w:val="center"/>
          </w:tcPr>
          <w:p w14:paraId="1A425162">
            <w:pPr>
              <w:pStyle w:val="48"/>
              <w:spacing w:line="480" w:lineRule="exact"/>
              <w:rPr>
                <w:rFonts w:hint="eastAsia"/>
              </w:rPr>
            </w:pPr>
          </w:p>
        </w:tc>
      </w:tr>
      <w:tr w14:paraId="5279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5B88A2AD">
            <w:pPr>
              <w:pStyle w:val="48"/>
              <w:spacing w:line="480" w:lineRule="exact"/>
              <w:rPr>
                <w:rFonts w:hint="eastAsia"/>
              </w:rPr>
            </w:pPr>
            <w:r>
              <w:rPr>
                <w:rFonts w:hint="eastAsia"/>
              </w:rPr>
              <w:t>成立时间</w:t>
            </w:r>
          </w:p>
        </w:tc>
        <w:tc>
          <w:tcPr>
            <w:tcW w:w="2557" w:type="dxa"/>
            <w:gridSpan w:val="2"/>
            <w:noWrap w:val="0"/>
            <w:vAlign w:val="center"/>
          </w:tcPr>
          <w:p w14:paraId="0BBA883D">
            <w:pPr>
              <w:pStyle w:val="48"/>
              <w:spacing w:line="480" w:lineRule="exact"/>
              <w:rPr>
                <w:rFonts w:hint="eastAsia"/>
              </w:rPr>
            </w:pPr>
          </w:p>
        </w:tc>
        <w:tc>
          <w:tcPr>
            <w:tcW w:w="5629" w:type="dxa"/>
            <w:gridSpan w:val="5"/>
            <w:noWrap w:val="0"/>
            <w:vAlign w:val="center"/>
          </w:tcPr>
          <w:p w14:paraId="323070D4">
            <w:pPr>
              <w:pStyle w:val="48"/>
              <w:spacing w:line="480" w:lineRule="exact"/>
              <w:rPr>
                <w:rFonts w:hint="eastAsia"/>
              </w:rPr>
            </w:pPr>
            <w:r>
              <w:rPr>
                <w:rFonts w:hint="eastAsia"/>
              </w:rPr>
              <w:t>员工总人数：</w:t>
            </w:r>
          </w:p>
        </w:tc>
      </w:tr>
      <w:tr w14:paraId="6FA6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515A110D">
            <w:pPr>
              <w:pStyle w:val="48"/>
              <w:spacing w:line="480" w:lineRule="exact"/>
              <w:rPr>
                <w:rFonts w:hint="eastAsia"/>
              </w:rPr>
            </w:pPr>
            <w:r>
              <w:rPr>
                <w:rFonts w:hint="eastAsia"/>
              </w:rPr>
              <w:t>企业资质等级</w:t>
            </w:r>
          </w:p>
        </w:tc>
        <w:tc>
          <w:tcPr>
            <w:tcW w:w="2557" w:type="dxa"/>
            <w:gridSpan w:val="2"/>
            <w:noWrap w:val="0"/>
            <w:vAlign w:val="center"/>
          </w:tcPr>
          <w:p w14:paraId="16711857">
            <w:pPr>
              <w:pStyle w:val="48"/>
              <w:spacing w:line="480" w:lineRule="exact"/>
              <w:rPr>
                <w:rFonts w:hint="eastAsia"/>
              </w:rPr>
            </w:pPr>
          </w:p>
        </w:tc>
        <w:tc>
          <w:tcPr>
            <w:tcW w:w="1455" w:type="dxa"/>
            <w:vMerge w:val="restart"/>
            <w:noWrap w:val="0"/>
            <w:vAlign w:val="center"/>
          </w:tcPr>
          <w:p w14:paraId="678C7F4F">
            <w:pPr>
              <w:pStyle w:val="48"/>
              <w:spacing w:line="480" w:lineRule="exact"/>
              <w:rPr>
                <w:rFonts w:hint="eastAsia"/>
              </w:rPr>
            </w:pPr>
            <w:r>
              <w:rPr>
                <w:rFonts w:hint="eastAsia"/>
              </w:rPr>
              <w:t>其中</w:t>
            </w:r>
          </w:p>
        </w:tc>
        <w:tc>
          <w:tcPr>
            <w:tcW w:w="1734" w:type="dxa"/>
            <w:gridSpan w:val="2"/>
            <w:noWrap w:val="0"/>
            <w:vAlign w:val="center"/>
          </w:tcPr>
          <w:p w14:paraId="185D735D">
            <w:pPr>
              <w:pStyle w:val="48"/>
              <w:spacing w:line="480" w:lineRule="exact"/>
              <w:rPr>
                <w:rFonts w:hint="eastAsia"/>
              </w:rPr>
            </w:pPr>
            <w:r>
              <w:rPr>
                <w:rFonts w:hint="eastAsia"/>
              </w:rPr>
              <w:t>项目经理</w:t>
            </w:r>
          </w:p>
        </w:tc>
        <w:tc>
          <w:tcPr>
            <w:tcW w:w="2440" w:type="dxa"/>
            <w:gridSpan w:val="2"/>
            <w:noWrap w:val="0"/>
            <w:vAlign w:val="center"/>
          </w:tcPr>
          <w:p w14:paraId="2FF1E9BF">
            <w:pPr>
              <w:pStyle w:val="48"/>
              <w:spacing w:line="480" w:lineRule="exact"/>
              <w:rPr>
                <w:rFonts w:hint="eastAsia"/>
              </w:rPr>
            </w:pPr>
          </w:p>
        </w:tc>
      </w:tr>
      <w:tr w14:paraId="01D7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77A5BA6F">
            <w:pPr>
              <w:pStyle w:val="48"/>
              <w:spacing w:line="480" w:lineRule="exact"/>
              <w:rPr>
                <w:rFonts w:hint="eastAsia"/>
              </w:rPr>
            </w:pPr>
            <w:r>
              <w:rPr>
                <w:rFonts w:hint="eastAsia"/>
              </w:rPr>
              <w:t>营业执照号/统一社会信用代码</w:t>
            </w:r>
          </w:p>
        </w:tc>
        <w:tc>
          <w:tcPr>
            <w:tcW w:w="2557" w:type="dxa"/>
            <w:gridSpan w:val="2"/>
            <w:noWrap w:val="0"/>
            <w:vAlign w:val="center"/>
          </w:tcPr>
          <w:p w14:paraId="348D7107">
            <w:pPr>
              <w:pStyle w:val="48"/>
              <w:spacing w:line="480" w:lineRule="exact"/>
              <w:rPr>
                <w:rFonts w:hint="eastAsia"/>
              </w:rPr>
            </w:pPr>
          </w:p>
        </w:tc>
        <w:tc>
          <w:tcPr>
            <w:tcW w:w="1455" w:type="dxa"/>
            <w:vMerge w:val="continue"/>
            <w:noWrap w:val="0"/>
            <w:vAlign w:val="center"/>
          </w:tcPr>
          <w:p w14:paraId="000C5B1A">
            <w:pPr>
              <w:pStyle w:val="48"/>
              <w:spacing w:line="480" w:lineRule="exact"/>
              <w:rPr>
                <w:rFonts w:hint="eastAsia"/>
              </w:rPr>
            </w:pPr>
          </w:p>
        </w:tc>
        <w:tc>
          <w:tcPr>
            <w:tcW w:w="1734" w:type="dxa"/>
            <w:gridSpan w:val="2"/>
            <w:noWrap w:val="0"/>
            <w:vAlign w:val="center"/>
          </w:tcPr>
          <w:p w14:paraId="46976691">
            <w:pPr>
              <w:pStyle w:val="48"/>
              <w:spacing w:line="480" w:lineRule="exact"/>
              <w:rPr>
                <w:rFonts w:hint="eastAsia"/>
              </w:rPr>
            </w:pPr>
            <w:r>
              <w:rPr>
                <w:rFonts w:hint="eastAsia"/>
              </w:rPr>
              <w:t>高级职称人员</w:t>
            </w:r>
          </w:p>
        </w:tc>
        <w:tc>
          <w:tcPr>
            <w:tcW w:w="2440" w:type="dxa"/>
            <w:gridSpan w:val="2"/>
            <w:noWrap w:val="0"/>
            <w:vAlign w:val="center"/>
          </w:tcPr>
          <w:p w14:paraId="35747984">
            <w:pPr>
              <w:pStyle w:val="48"/>
              <w:spacing w:line="480" w:lineRule="exact"/>
              <w:rPr>
                <w:rFonts w:hint="eastAsia"/>
              </w:rPr>
            </w:pPr>
          </w:p>
        </w:tc>
      </w:tr>
      <w:tr w14:paraId="78B5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00235A3B">
            <w:pPr>
              <w:pStyle w:val="48"/>
              <w:spacing w:line="480" w:lineRule="exact"/>
              <w:rPr>
                <w:rFonts w:hint="eastAsia"/>
              </w:rPr>
            </w:pPr>
            <w:r>
              <w:rPr>
                <w:rFonts w:hint="eastAsia"/>
              </w:rPr>
              <w:t>注册资金</w:t>
            </w:r>
          </w:p>
        </w:tc>
        <w:tc>
          <w:tcPr>
            <w:tcW w:w="2557" w:type="dxa"/>
            <w:gridSpan w:val="2"/>
            <w:noWrap w:val="0"/>
            <w:vAlign w:val="center"/>
          </w:tcPr>
          <w:p w14:paraId="3A3F85CE">
            <w:pPr>
              <w:pStyle w:val="48"/>
              <w:spacing w:line="480" w:lineRule="exact"/>
              <w:rPr>
                <w:rFonts w:hint="eastAsia"/>
              </w:rPr>
            </w:pPr>
          </w:p>
        </w:tc>
        <w:tc>
          <w:tcPr>
            <w:tcW w:w="1455" w:type="dxa"/>
            <w:vMerge w:val="continue"/>
            <w:noWrap w:val="0"/>
            <w:vAlign w:val="center"/>
          </w:tcPr>
          <w:p w14:paraId="0DB15AB9">
            <w:pPr>
              <w:pStyle w:val="48"/>
              <w:spacing w:line="480" w:lineRule="exact"/>
              <w:rPr>
                <w:rFonts w:hint="eastAsia"/>
              </w:rPr>
            </w:pPr>
          </w:p>
        </w:tc>
        <w:tc>
          <w:tcPr>
            <w:tcW w:w="1734" w:type="dxa"/>
            <w:gridSpan w:val="2"/>
            <w:noWrap w:val="0"/>
            <w:vAlign w:val="center"/>
          </w:tcPr>
          <w:p w14:paraId="1E2F4AC4">
            <w:pPr>
              <w:pStyle w:val="48"/>
              <w:spacing w:line="480" w:lineRule="exact"/>
              <w:rPr>
                <w:rFonts w:hint="eastAsia"/>
              </w:rPr>
            </w:pPr>
            <w:r>
              <w:rPr>
                <w:rFonts w:hint="eastAsia"/>
              </w:rPr>
              <w:t>中级职称人员</w:t>
            </w:r>
          </w:p>
        </w:tc>
        <w:tc>
          <w:tcPr>
            <w:tcW w:w="2440" w:type="dxa"/>
            <w:gridSpan w:val="2"/>
            <w:noWrap w:val="0"/>
            <w:vAlign w:val="center"/>
          </w:tcPr>
          <w:p w14:paraId="7389D5DF">
            <w:pPr>
              <w:pStyle w:val="48"/>
              <w:spacing w:line="480" w:lineRule="exact"/>
              <w:rPr>
                <w:rFonts w:hint="eastAsia"/>
              </w:rPr>
            </w:pPr>
          </w:p>
        </w:tc>
      </w:tr>
      <w:tr w14:paraId="4ABB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6F93CAFE">
            <w:pPr>
              <w:pStyle w:val="48"/>
              <w:spacing w:line="480" w:lineRule="exact"/>
              <w:rPr>
                <w:rFonts w:hint="eastAsia"/>
              </w:rPr>
            </w:pPr>
            <w:r>
              <w:rPr>
                <w:rFonts w:hint="eastAsia"/>
              </w:rPr>
              <w:t>开户银行</w:t>
            </w:r>
          </w:p>
        </w:tc>
        <w:tc>
          <w:tcPr>
            <w:tcW w:w="2557" w:type="dxa"/>
            <w:gridSpan w:val="2"/>
            <w:noWrap w:val="0"/>
            <w:vAlign w:val="center"/>
          </w:tcPr>
          <w:p w14:paraId="51EC12E3">
            <w:pPr>
              <w:pStyle w:val="48"/>
              <w:spacing w:line="480" w:lineRule="exact"/>
              <w:rPr>
                <w:rFonts w:hint="eastAsia"/>
              </w:rPr>
            </w:pPr>
          </w:p>
        </w:tc>
        <w:tc>
          <w:tcPr>
            <w:tcW w:w="1455" w:type="dxa"/>
            <w:vMerge w:val="continue"/>
            <w:noWrap w:val="0"/>
            <w:vAlign w:val="center"/>
          </w:tcPr>
          <w:p w14:paraId="319C786F">
            <w:pPr>
              <w:pStyle w:val="48"/>
              <w:spacing w:line="480" w:lineRule="exact"/>
              <w:rPr>
                <w:rFonts w:hint="eastAsia"/>
              </w:rPr>
            </w:pPr>
          </w:p>
        </w:tc>
        <w:tc>
          <w:tcPr>
            <w:tcW w:w="1734" w:type="dxa"/>
            <w:gridSpan w:val="2"/>
            <w:noWrap w:val="0"/>
            <w:vAlign w:val="center"/>
          </w:tcPr>
          <w:p w14:paraId="57DA3FCC">
            <w:pPr>
              <w:pStyle w:val="48"/>
              <w:spacing w:line="480" w:lineRule="exact"/>
              <w:rPr>
                <w:rFonts w:hint="eastAsia"/>
              </w:rPr>
            </w:pPr>
            <w:r>
              <w:rPr>
                <w:rFonts w:hint="eastAsia"/>
              </w:rPr>
              <w:t>初级职称人员</w:t>
            </w:r>
          </w:p>
        </w:tc>
        <w:tc>
          <w:tcPr>
            <w:tcW w:w="2440" w:type="dxa"/>
            <w:gridSpan w:val="2"/>
            <w:noWrap w:val="0"/>
            <w:vAlign w:val="center"/>
          </w:tcPr>
          <w:p w14:paraId="4AC20EC4">
            <w:pPr>
              <w:pStyle w:val="48"/>
              <w:spacing w:line="480" w:lineRule="exact"/>
              <w:rPr>
                <w:rFonts w:hint="eastAsia"/>
              </w:rPr>
            </w:pPr>
          </w:p>
        </w:tc>
      </w:tr>
      <w:tr w14:paraId="4E04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2D0C5246">
            <w:pPr>
              <w:pStyle w:val="48"/>
              <w:spacing w:line="480" w:lineRule="exact"/>
              <w:rPr>
                <w:rFonts w:hint="eastAsia"/>
              </w:rPr>
            </w:pPr>
            <w:r>
              <w:rPr>
                <w:rFonts w:hint="eastAsia"/>
              </w:rPr>
              <w:t>账号</w:t>
            </w:r>
          </w:p>
        </w:tc>
        <w:tc>
          <w:tcPr>
            <w:tcW w:w="2557" w:type="dxa"/>
            <w:gridSpan w:val="2"/>
            <w:noWrap w:val="0"/>
            <w:vAlign w:val="center"/>
          </w:tcPr>
          <w:p w14:paraId="3E860A9E">
            <w:pPr>
              <w:pStyle w:val="48"/>
              <w:spacing w:line="480" w:lineRule="exact"/>
              <w:rPr>
                <w:rFonts w:hint="eastAsia"/>
              </w:rPr>
            </w:pPr>
          </w:p>
        </w:tc>
        <w:tc>
          <w:tcPr>
            <w:tcW w:w="1455" w:type="dxa"/>
            <w:vMerge w:val="continue"/>
            <w:noWrap w:val="0"/>
            <w:vAlign w:val="center"/>
          </w:tcPr>
          <w:p w14:paraId="6B4E88EE">
            <w:pPr>
              <w:pStyle w:val="48"/>
              <w:spacing w:line="480" w:lineRule="exact"/>
              <w:rPr>
                <w:rFonts w:hint="eastAsia"/>
              </w:rPr>
            </w:pPr>
          </w:p>
        </w:tc>
        <w:tc>
          <w:tcPr>
            <w:tcW w:w="1734" w:type="dxa"/>
            <w:gridSpan w:val="2"/>
            <w:noWrap w:val="0"/>
            <w:vAlign w:val="center"/>
          </w:tcPr>
          <w:p w14:paraId="53AA099D">
            <w:pPr>
              <w:pStyle w:val="48"/>
              <w:spacing w:line="480" w:lineRule="exact"/>
              <w:rPr>
                <w:rFonts w:hint="eastAsia"/>
              </w:rPr>
            </w:pPr>
            <w:r>
              <w:rPr>
                <w:rFonts w:hint="eastAsia"/>
              </w:rPr>
              <w:t>技工</w:t>
            </w:r>
          </w:p>
        </w:tc>
        <w:tc>
          <w:tcPr>
            <w:tcW w:w="2440" w:type="dxa"/>
            <w:gridSpan w:val="2"/>
            <w:noWrap w:val="0"/>
            <w:vAlign w:val="center"/>
          </w:tcPr>
          <w:p w14:paraId="044452E5">
            <w:pPr>
              <w:pStyle w:val="48"/>
              <w:spacing w:line="480" w:lineRule="exact"/>
              <w:rPr>
                <w:rFonts w:hint="eastAsia"/>
              </w:rPr>
            </w:pPr>
          </w:p>
        </w:tc>
      </w:tr>
      <w:tr w14:paraId="1A80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noWrap w:val="0"/>
            <w:vAlign w:val="center"/>
          </w:tcPr>
          <w:p w14:paraId="1B6FDAB5">
            <w:pPr>
              <w:pStyle w:val="48"/>
              <w:spacing w:line="480" w:lineRule="exact"/>
              <w:rPr>
                <w:rFonts w:hint="eastAsia"/>
              </w:rPr>
            </w:pPr>
            <w:r>
              <w:rPr>
                <w:rFonts w:hint="eastAsia"/>
              </w:rPr>
              <w:t>经营范围</w:t>
            </w:r>
          </w:p>
        </w:tc>
        <w:tc>
          <w:tcPr>
            <w:tcW w:w="8186" w:type="dxa"/>
            <w:gridSpan w:val="7"/>
            <w:noWrap w:val="0"/>
            <w:vAlign w:val="center"/>
          </w:tcPr>
          <w:p w14:paraId="35ED31E1">
            <w:pPr>
              <w:pStyle w:val="48"/>
              <w:spacing w:line="480" w:lineRule="exact"/>
              <w:rPr>
                <w:rFonts w:hint="eastAsia"/>
              </w:rPr>
            </w:pPr>
          </w:p>
        </w:tc>
      </w:tr>
      <w:tr w14:paraId="46D3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noWrap w:val="0"/>
            <w:vAlign w:val="center"/>
          </w:tcPr>
          <w:p w14:paraId="733EBC45">
            <w:pPr>
              <w:pStyle w:val="48"/>
              <w:spacing w:line="480" w:lineRule="exact"/>
              <w:rPr>
                <w:rFonts w:hint="eastAsia"/>
              </w:rPr>
            </w:pPr>
            <w:r>
              <w:rPr>
                <w:rFonts w:hint="eastAsia"/>
              </w:rPr>
              <w:t>备注</w:t>
            </w:r>
          </w:p>
        </w:tc>
        <w:tc>
          <w:tcPr>
            <w:tcW w:w="8186" w:type="dxa"/>
            <w:gridSpan w:val="7"/>
            <w:noWrap w:val="0"/>
            <w:vAlign w:val="top"/>
          </w:tcPr>
          <w:p w14:paraId="63993F55">
            <w:pPr>
              <w:pStyle w:val="48"/>
              <w:spacing w:line="480" w:lineRule="exact"/>
              <w:rPr>
                <w:rFonts w:hint="eastAsia"/>
              </w:rPr>
            </w:pPr>
          </w:p>
        </w:tc>
      </w:tr>
    </w:tbl>
    <w:p w14:paraId="40E95F60">
      <w:pPr>
        <w:pStyle w:val="43"/>
        <w:ind w:firstLine="482"/>
        <w:rPr>
          <w:rFonts w:hint="eastAsia"/>
        </w:rPr>
      </w:pPr>
      <w:r>
        <w:rPr>
          <w:rFonts w:hint="eastAsia"/>
        </w:rPr>
        <w:t>注：①</w:t>
      </w:r>
      <w:r>
        <w:rPr>
          <w:rFonts w:hint="eastAsia" w:cs="宋体"/>
          <w:bCs/>
          <w:color w:val="000000"/>
          <w:szCs w:val="24"/>
        </w:rPr>
        <w:t>事业单位、其他组织及自然人磋商根据实际情况据实填写此表，若未填报完善不影响磋商资质及效力；②空白项用“/”填写</w:t>
      </w:r>
      <w:r>
        <w:rPr>
          <w:rFonts w:hint="eastAsia"/>
        </w:rPr>
        <w:t>。</w:t>
      </w:r>
    </w:p>
    <w:p w14:paraId="3B119491">
      <w:pPr>
        <w:pStyle w:val="38"/>
        <w:rPr>
          <w:rFonts w:hint="eastAsia"/>
        </w:rPr>
      </w:pPr>
    </w:p>
    <w:p w14:paraId="0482D341">
      <w:pPr>
        <w:pStyle w:val="39"/>
        <w:rPr>
          <w:rFonts w:hint="eastAsia"/>
        </w:rPr>
      </w:pPr>
      <w:r>
        <w:rPr>
          <w:rFonts w:hint="eastAsia"/>
        </w:rPr>
        <w:t>供应商名称：(盖章)</w:t>
      </w:r>
    </w:p>
    <w:p w14:paraId="386CB113">
      <w:pPr>
        <w:pStyle w:val="39"/>
        <w:rPr>
          <w:rFonts w:hint="eastAsia"/>
        </w:rPr>
      </w:pPr>
      <w:r>
        <w:rPr>
          <w:rFonts w:hint="eastAsia"/>
        </w:rPr>
        <w:t>法定代表人/单位负责人或授权代表：(签字或盖章)</w:t>
      </w:r>
    </w:p>
    <w:p w14:paraId="17548B3A">
      <w:pPr>
        <w:pStyle w:val="39"/>
        <w:rPr>
          <w:rFonts w:hint="eastAsia"/>
        </w:rPr>
      </w:pPr>
      <w:r>
        <w:rPr>
          <w:rFonts w:hint="eastAsia"/>
        </w:rPr>
        <w:t>日期：</w:t>
      </w:r>
    </w:p>
    <w:p w14:paraId="4EADBEEC">
      <w:pPr>
        <w:pStyle w:val="38"/>
        <w:rPr>
          <w:rFonts w:hint="eastAsia"/>
        </w:rPr>
      </w:pPr>
    </w:p>
    <w:p w14:paraId="570D4C4E">
      <w:pPr>
        <w:pStyle w:val="38"/>
        <w:rPr>
          <w:rFonts w:hint="eastAsia"/>
        </w:rPr>
      </w:pPr>
    </w:p>
    <w:p w14:paraId="5311E5FF">
      <w:pPr>
        <w:tabs>
          <w:tab w:val="left" w:pos="0"/>
        </w:tabs>
        <w:jc w:val="center"/>
        <w:outlineLvl w:val="2"/>
        <w:rPr>
          <w:rFonts w:hint="eastAsia"/>
        </w:rPr>
      </w:pPr>
      <w:bookmarkStart w:id="161" w:name="_Toc319440166"/>
      <w:bookmarkStart w:id="162" w:name="_Toc21006"/>
      <w:bookmarkStart w:id="163" w:name="_Toc327196310"/>
      <w:bookmarkStart w:id="164" w:name="_Toc11461"/>
      <w:bookmarkStart w:id="165" w:name="_Toc7835"/>
      <w:bookmarkStart w:id="166" w:name="_Toc307564875"/>
      <w:bookmarkStart w:id="167" w:name="_Toc25577"/>
      <w:bookmarkStart w:id="168" w:name="_Toc217446087"/>
      <w:bookmarkStart w:id="169" w:name="_Toc307501130"/>
      <w:bookmarkStart w:id="170" w:name="_Toc26124"/>
      <w:bookmarkStart w:id="171" w:name="_Toc327196312"/>
      <w:bookmarkStart w:id="172" w:name="_Toc319440168"/>
      <w:r>
        <w:rPr>
          <w:rFonts w:hint="eastAsia"/>
        </w:rPr>
        <w:br w:type="page"/>
      </w:r>
      <w:bookmarkStart w:id="173" w:name="_Toc18999"/>
      <w:r>
        <w:rPr>
          <w:rFonts w:hint="eastAsia"/>
          <w:b/>
          <w:snapToGrid w:val="0"/>
          <w:sz w:val="28"/>
        </w:rPr>
        <w:t>五、商务应答表</w:t>
      </w:r>
      <w:bookmarkEnd w:id="161"/>
      <w:bookmarkEnd w:id="162"/>
      <w:bookmarkEnd w:id="163"/>
      <w:bookmarkEnd w:id="164"/>
      <w:bookmarkEnd w:id="165"/>
      <w:bookmarkEnd w:id="166"/>
      <w:bookmarkEnd w:id="167"/>
      <w:bookmarkEnd w:id="168"/>
      <w:bookmarkEnd w:id="169"/>
      <w:bookmarkEnd w:id="173"/>
    </w:p>
    <w:p w14:paraId="108C1EA7">
      <w:pPr>
        <w:pStyle w:val="38"/>
        <w:rPr>
          <w:rFonts w:hint="eastAsia"/>
          <w:u w:val="single"/>
        </w:rPr>
      </w:pPr>
      <w:r>
        <w:rPr>
          <w:rFonts w:hint="eastAsia"/>
        </w:rPr>
        <w:t>项目名称：</w:t>
      </w:r>
    </w:p>
    <w:p w14:paraId="11B8A445">
      <w:pPr>
        <w:pStyle w:val="38"/>
        <w:rPr>
          <w:rFonts w:hint="eastAsia"/>
        </w:rPr>
      </w:pPr>
      <w:r>
        <w:rPr>
          <w:rFonts w:hint="eastAsia"/>
        </w:rPr>
        <w:t>项目编号：</w:t>
      </w:r>
    </w:p>
    <w:tbl>
      <w:tblPr>
        <w:tblStyle w:val="20"/>
        <w:tblpPr w:leftFromText="180" w:rightFromText="180" w:vertAnchor="text" w:horzAnchor="page" w:tblpX="1382" w:tblpY="550"/>
        <w:tblOverlap w:val="never"/>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14:paraId="75EA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center"/>
          </w:tcPr>
          <w:p w14:paraId="6A960865">
            <w:pPr>
              <w:pStyle w:val="48"/>
              <w:rPr>
                <w:rFonts w:hint="eastAsia"/>
                <w:b/>
                <w:bCs/>
              </w:rPr>
            </w:pPr>
            <w:r>
              <w:rPr>
                <w:rFonts w:hint="eastAsia"/>
                <w:b/>
                <w:bCs/>
              </w:rPr>
              <w:t>序号</w:t>
            </w:r>
          </w:p>
        </w:tc>
        <w:tc>
          <w:tcPr>
            <w:tcW w:w="3880" w:type="dxa"/>
            <w:noWrap w:val="0"/>
            <w:vAlign w:val="center"/>
          </w:tcPr>
          <w:p w14:paraId="20F17A5F">
            <w:pPr>
              <w:tabs>
                <w:tab w:val="left" w:pos="0"/>
              </w:tabs>
              <w:ind w:firstLine="86" w:firstLineChars="41"/>
              <w:jc w:val="center"/>
              <w:rPr>
                <w:rFonts w:hint="eastAsia"/>
                <w:b/>
                <w:bCs/>
              </w:rPr>
            </w:pPr>
            <w:r>
              <w:rPr>
                <w:rFonts w:hint="eastAsia" w:cs="宋体"/>
                <w:b/>
                <w:bCs/>
                <w:color w:val="000000"/>
                <w:sz w:val="21"/>
                <w:szCs w:val="21"/>
              </w:rPr>
              <w:t>竞争性磋商文件第五章商务要求条款</w:t>
            </w:r>
          </w:p>
        </w:tc>
        <w:tc>
          <w:tcPr>
            <w:tcW w:w="3673" w:type="dxa"/>
            <w:noWrap w:val="0"/>
            <w:vAlign w:val="center"/>
          </w:tcPr>
          <w:p w14:paraId="171933D5">
            <w:pPr>
              <w:tabs>
                <w:tab w:val="left" w:pos="0"/>
              </w:tabs>
              <w:jc w:val="center"/>
              <w:rPr>
                <w:rFonts w:hint="eastAsia"/>
                <w:b/>
                <w:bCs/>
              </w:rPr>
            </w:pPr>
            <w:r>
              <w:rPr>
                <w:rFonts w:hint="eastAsia" w:cs="宋体"/>
                <w:b/>
                <w:bCs/>
                <w:color w:val="000000"/>
                <w:sz w:val="21"/>
                <w:szCs w:val="21"/>
              </w:rPr>
              <w:t>响应文件响应情况</w:t>
            </w:r>
          </w:p>
        </w:tc>
        <w:tc>
          <w:tcPr>
            <w:tcW w:w="1631" w:type="dxa"/>
            <w:noWrap w:val="0"/>
            <w:vAlign w:val="center"/>
          </w:tcPr>
          <w:p w14:paraId="44FA57AD">
            <w:pPr>
              <w:pStyle w:val="48"/>
              <w:rPr>
                <w:rFonts w:hint="eastAsia"/>
                <w:b/>
                <w:bCs/>
              </w:rPr>
            </w:pPr>
            <w:r>
              <w:rPr>
                <w:rFonts w:hint="eastAsia"/>
                <w:b/>
                <w:bCs/>
              </w:rPr>
              <w:t>偏离情况</w:t>
            </w:r>
          </w:p>
        </w:tc>
      </w:tr>
      <w:tr w14:paraId="7D55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3B4E4886">
            <w:pPr>
              <w:pStyle w:val="48"/>
              <w:rPr>
                <w:rFonts w:hint="eastAsia"/>
                <w:b/>
                <w:bCs/>
              </w:rPr>
            </w:pPr>
          </w:p>
        </w:tc>
        <w:tc>
          <w:tcPr>
            <w:tcW w:w="3880" w:type="dxa"/>
            <w:noWrap w:val="0"/>
            <w:vAlign w:val="top"/>
          </w:tcPr>
          <w:p w14:paraId="2A53E44B">
            <w:pPr>
              <w:pStyle w:val="48"/>
              <w:rPr>
                <w:rFonts w:hint="eastAsia"/>
                <w:b/>
                <w:bCs/>
              </w:rPr>
            </w:pPr>
          </w:p>
        </w:tc>
        <w:tc>
          <w:tcPr>
            <w:tcW w:w="3673" w:type="dxa"/>
            <w:noWrap w:val="0"/>
            <w:vAlign w:val="top"/>
          </w:tcPr>
          <w:p w14:paraId="338F77C9">
            <w:pPr>
              <w:pStyle w:val="48"/>
              <w:rPr>
                <w:rFonts w:hint="eastAsia"/>
                <w:b/>
                <w:bCs/>
              </w:rPr>
            </w:pPr>
          </w:p>
        </w:tc>
        <w:tc>
          <w:tcPr>
            <w:tcW w:w="1631" w:type="dxa"/>
            <w:noWrap w:val="0"/>
            <w:vAlign w:val="top"/>
          </w:tcPr>
          <w:p w14:paraId="72E1E108">
            <w:pPr>
              <w:pStyle w:val="48"/>
              <w:rPr>
                <w:rFonts w:hint="eastAsia"/>
                <w:b/>
                <w:bCs/>
              </w:rPr>
            </w:pPr>
          </w:p>
        </w:tc>
      </w:tr>
      <w:tr w14:paraId="0407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7B864F35">
            <w:pPr>
              <w:pStyle w:val="48"/>
              <w:rPr>
                <w:rFonts w:hint="eastAsia"/>
                <w:b/>
                <w:bCs/>
              </w:rPr>
            </w:pPr>
          </w:p>
        </w:tc>
        <w:tc>
          <w:tcPr>
            <w:tcW w:w="3880" w:type="dxa"/>
            <w:noWrap w:val="0"/>
            <w:vAlign w:val="top"/>
          </w:tcPr>
          <w:p w14:paraId="633A33DA">
            <w:pPr>
              <w:pStyle w:val="48"/>
              <w:rPr>
                <w:rFonts w:hint="eastAsia"/>
                <w:b/>
                <w:bCs/>
              </w:rPr>
            </w:pPr>
          </w:p>
        </w:tc>
        <w:tc>
          <w:tcPr>
            <w:tcW w:w="3673" w:type="dxa"/>
            <w:noWrap w:val="0"/>
            <w:vAlign w:val="top"/>
          </w:tcPr>
          <w:p w14:paraId="3F497B68">
            <w:pPr>
              <w:pStyle w:val="48"/>
              <w:rPr>
                <w:rFonts w:hint="eastAsia"/>
                <w:b/>
                <w:bCs/>
              </w:rPr>
            </w:pPr>
          </w:p>
        </w:tc>
        <w:tc>
          <w:tcPr>
            <w:tcW w:w="1631" w:type="dxa"/>
            <w:noWrap w:val="0"/>
            <w:vAlign w:val="top"/>
          </w:tcPr>
          <w:p w14:paraId="20C4F5B5">
            <w:pPr>
              <w:pStyle w:val="48"/>
              <w:rPr>
                <w:rFonts w:hint="eastAsia"/>
                <w:b/>
                <w:bCs/>
              </w:rPr>
            </w:pPr>
          </w:p>
        </w:tc>
      </w:tr>
      <w:tr w14:paraId="1406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58848732">
            <w:pPr>
              <w:pStyle w:val="48"/>
              <w:rPr>
                <w:rFonts w:hint="eastAsia"/>
                <w:b/>
                <w:bCs/>
              </w:rPr>
            </w:pPr>
          </w:p>
        </w:tc>
        <w:tc>
          <w:tcPr>
            <w:tcW w:w="3880" w:type="dxa"/>
            <w:noWrap w:val="0"/>
            <w:vAlign w:val="top"/>
          </w:tcPr>
          <w:p w14:paraId="45311CC6">
            <w:pPr>
              <w:pStyle w:val="48"/>
              <w:rPr>
                <w:rFonts w:hint="eastAsia"/>
                <w:b/>
                <w:bCs/>
              </w:rPr>
            </w:pPr>
          </w:p>
        </w:tc>
        <w:tc>
          <w:tcPr>
            <w:tcW w:w="3673" w:type="dxa"/>
            <w:noWrap w:val="0"/>
            <w:vAlign w:val="top"/>
          </w:tcPr>
          <w:p w14:paraId="75A334D0">
            <w:pPr>
              <w:pStyle w:val="48"/>
              <w:rPr>
                <w:rFonts w:hint="eastAsia"/>
                <w:b/>
                <w:bCs/>
              </w:rPr>
            </w:pPr>
          </w:p>
        </w:tc>
        <w:tc>
          <w:tcPr>
            <w:tcW w:w="1631" w:type="dxa"/>
            <w:noWrap w:val="0"/>
            <w:vAlign w:val="top"/>
          </w:tcPr>
          <w:p w14:paraId="2D6A149F">
            <w:pPr>
              <w:pStyle w:val="48"/>
              <w:rPr>
                <w:rFonts w:hint="eastAsia"/>
                <w:b/>
                <w:bCs/>
              </w:rPr>
            </w:pPr>
          </w:p>
        </w:tc>
      </w:tr>
      <w:tr w14:paraId="5372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01A04A4A">
            <w:pPr>
              <w:pStyle w:val="48"/>
              <w:rPr>
                <w:rFonts w:hint="eastAsia"/>
                <w:b/>
                <w:bCs/>
              </w:rPr>
            </w:pPr>
          </w:p>
        </w:tc>
        <w:tc>
          <w:tcPr>
            <w:tcW w:w="3880" w:type="dxa"/>
            <w:noWrap w:val="0"/>
            <w:vAlign w:val="top"/>
          </w:tcPr>
          <w:p w14:paraId="2C2BA689">
            <w:pPr>
              <w:pStyle w:val="48"/>
              <w:rPr>
                <w:rFonts w:hint="eastAsia"/>
                <w:b/>
                <w:bCs/>
              </w:rPr>
            </w:pPr>
          </w:p>
        </w:tc>
        <w:tc>
          <w:tcPr>
            <w:tcW w:w="3673" w:type="dxa"/>
            <w:noWrap w:val="0"/>
            <w:vAlign w:val="top"/>
          </w:tcPr>
          <w:p w14:paraId="42E4FFD2">
            <w:pPr>
              <w:pStyle w:val="48"/>
              <w:rPr>
                <w:rFonts w:hint="eastAsia"/>
                <w:b/>
                <w:bCs/>
              </w:rPr>
            </w:pPr>
          </w:p>
        </w:tc>
        <w:tc>
          <w:tcPr>
            <w:tcW w:w="1631" w:type="dxa"/>
            <w:noWrap w:val="0"/>
            <w:vAlign w:val="top"/>
          </w:tcPr>
          <w:p w14:paraId="6BD93169">
            <w:pPr>
              <w:pStyle w:val="48"/>
              <w:rPr>
                <w:rFonts w:hint="eastAsia"/>
                <w:b/>
                <w:bCs/>
              </w:rPr>
            </w:pPr>
          </w:p>
        </w:tc>
      </w:tr>
    </w:tbl>
    <w:p w14:paraId="273DBD13">
      <w:pPr>
        <w:pStyle w:val="43"/>
        <w:ind w:left="0" w:leftChars="0" w:firstLine="0" w:firstLineChars="0"/>
        <w:rPr>
          <w:rFonts w:hint="eastAsia"/>
        </w:rPr>
      </w:pPr>
    </w:p>
    <w:p w14:paraId="0F4FC41B">
      <w:pPr>
        <w:pStyle w:val="43"/>
        <w:ind w:firstLine="482"/>
        <w:rPr>
          <w:rFonts w:hint="eastAsia"/>
        </w:rPr>
      </w:pPr>
    </w:p>
    <w:p w14:paraId="6E5E85EC">
      <w:pPr>
        <w:pStyle w:val="43"/>
        <w:ind w:firstLine="482"/>
        <w:rPr>
          <w:rFonts w:hint="eastAsia"/>
        </w:rPr>
      </w:pPr>
      <w:r>
        <w:rPr>
          <w:rFonts w:hint="eastAsia"/>
        </w:rPr>
        <w:t>注：</w:t>
      </w:r>
      <w:r>
        <w:rPr>
          <w:rFonts w:hint="eastAsia"/>
          <w:color w:val="000000"/>
        </w:rPr>
        <w:t>如与竞争性磋商文件第五章商务要求有偏离(包括正偏离和负偏离)，请将偏离条款逐条应答。如与竞争性磋商文件第五章商务要求的所有条款无偏离，则无须在此表中应答，视为默认完全响应和接受竞争性磋商文件第五章所有商务要求，供应商不得以未作应答而拒不接受</w:t>
      </w:r>
      <w:r>
        <w:rPr>
          <w:rFonts w:hint="eastAsia"/>
        </w:rPr>
        <w:t>。</w:t>
      </w:r>
      <w:r>
        <w:rPr>
          <w:rFonts w:hint="eastAsia"/>
          <w:color w:val="000000"/>
        </w:rPr>
        <w:t>供应商必须据实填写，不得虚假应答，否则将取消其成交资格。</w:t>
      </w:r>
    </w:p>
    <w:p w14:paraId="68EFCF70">
      <w:pPr>
        <w:pStyle w:val="38"/>
        <w:rPr>
          <w:rFonts w:hint="eastAsia"/>
        </w:rPr>
      </w:pPr>
    </w:p>
    <w:p w14:paraId="13A13B02">
      <w:pPr>
        <w:pStyle w:val="38"/>
        <w:rPr>
          <w:rFonts w:hint="eastAsia"/>
        </w:rPr>
      </w:pPr>
    </w:p>
    <w:p w14:paraId="54E8449B">
      <w:pPr>
        <w:pStyle w:val="39"/>
        <w:rPr>
          <w:rFonts w:hint="eastAsia"/>
        </w:rPr>
      </w:pPr>
      <w:r>
        <w:rPr>
          <w:rFonts w:hint="eastAsia"/>
        </w:rPr>
        <w:t>供应商名称：(盖章)</w:t>
      </w:r>
    </w:p>
    <w:p w14:paraId="123B12B3">
      <w:pPr>
        <w:pStyle w:val="39"/>
        <w:rPr>
          <w:rFonts w:hint="eastAsia"/>
        </w:rPr>
      </w:pPr>
      <w:r>
        <w:rPr>
          <w:rFonts w:hint="eastAsia"/>
        </w:rPr>
        <w:t>法定代表人/单位负责人或授权代表：(签字或盖章)</w:t>
      </w:r>
    </w:p>
    <w:p w14:paraId="3463FB6F">
      <w:pPr>
        <w:pStyle w:val="39"/>
        <w:rPr>
          <w:rFonts w:hint="eastAsia"/>
        </w:rPr>
      </w:pPr>
      <w:r>
        <w:rPr>
          <w:rFonts w:hint="eastAsia"/>
        </w:rPr>
        <w:t>日期：</w:t>
      </w:r>
    </w:p>
    <w:p w14:paraId="5FAB6BB1">
      <w:pPr>
        <w:pStyle w:val="38"/>
        <w:jc w:val="center"/>
        <w:outlineLvl w:val="2"/>
        <w:rPr>
          <w:rFonts w:hint="eastAsia"/>
        </w:rPr>
      </w:pPr>
      <w:r>
        <w:rPr>
          <w:rFonts w:hint="eastAsia"/>
        </w:rPr>
        <w:br w:type="page"/>
      </w:r>
      <w:bookmarkStart w:id="174" w:name="_Toc25122"/>
      <w:bookmarkStart w:id="175" w:name="_Toc17179"/>
      <w:bookmarkStart w:id="176" w:name="_Toc3995"/>
      <w:bookmarkStart w:id="177" w:name="_Toc23376"/>
      <w:r>
        <w:rPr>
          <w:rFonts w:hint="eastAsia"/>
          <w:b/>
          <w:sz w:val="28"/>
        </w:rPr>
        <w:t>六、服务及要求应答表</w:t>
      </w:r>
      <w:bookmarkEnd w:id="174"/>
      <w:bookmarkEnd w:id="175"/>
      <w:bookmarkEnd w:id="176"/>
      <w:bookmarkEnd w:id="177"/>
    </w:p>
    <w:p w14:paraId="0CB90F44">
      <w:pPr>
        <w:pStyle w:val="38"/>
        <w:rPr>
          <w:rFonts w:hint="eastAsia"/>
        </w:rPr>
      </w:pPr>
      <w:r>
        <w:rPr>
          <w:rFonts w:hint="eastAsia"/>
        </w:rPr>
        <w:t>项目名称：</w:t>
      </w:r>
    </w:p>
    <w:p w14:paraId="0DE8AEAC">
      <w:pPr>
        <w:pStyle w:val="38"/>
        <w:rPr>
          <w:rFonts w:hint="eastAsia"/>
        </w:rPr>
      </w:pPr>
      <w:r>
        <w:rPr>
          <w:rFonts w:hint="eastAsia"/>
        </w:rPr>
        <w:t>项目编号：</w:t>
      </w:r>
    </w:p>
    <w:p w14:paraId="05299A0B">
      <w:pPr>
        <w:pStyle w:val="38"/>
        <w:rPr>
          <w:rFonts w:hint="eastAsia"/>
        </w:rPr>
      </w:pPr>
    </w:p>
    <w:tbl>
      <w:tblPr>
        <w:tblStyle w:val="20"/>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14:paraId="52F5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noWrap w:val="0"/>
            <w:vAlign w:val="center"/>
          </w:tcPr>
          <w:p w14:paraId="5292DF26">
            <w:pPr>
              <w:pStyle w:val="48"/>
              <w:rPr>
                <w:rFonts w:hint="eastAsia"/>
                <w:b/>
                <w:bCs/>
              </w:rPr>
            </w:pPr>
            <w:r>
              <w:rPr>
                <w:rFonts w:hint="eastAsia"/>
                <w:b/>
                <w:bCs/>
              </w:rPr>
              <w:t>序号</w:t>
            </w:r>
          </w:p>
        </w:tc>
        <w:tc>
          <w:tcPr>
            <w:tcW w:w="4128" w:type="dxa"/>
            <w:noWrap w:val="0"/>
            <w:vAlign w:val="center"/>
          </w:tcPr>
          <w:p w14:paraId="79E3ECA7">
            <w:pPr>
              <w:pStyle w:val="48"/>
              <w:rPr>
                <w:rFonts w:hint="eastAsia" w:cs="Times New Roman"/>
                <w:b/>
                <w:bCs/>
              </w:rPr>
            </w:pPr>
          </w:p>
          <w:p w14:paraId="7BF996F7">
            <w:pPr>
              <w:pStyle w:val="48"/>
              <w:rPr>
                <w:rFonts w:hint="eastAsia" w:cs="Times New Roman"/>
                <w:b/>
                <w:bCs/>
                <w:lang w:val="en-US" w:eastAsia="zh-CN"/>
              </w:rPr>
            </w:pPr>
            <w:r>
              <w:rPr>
                <w:rFonts w:hint="eastAsia" w:cs="Times New Roman"/>
                <w:b/>
                <w:bCs/>
              </w:rPr>
              <w:t>竞争性磋商文件第五章</w:t>
            </w:r>
            <w:r>
              <w:rPr>
                <w:rFonts w:hint="eastAsia" w:cs="Times New Roman"/>
                <w:b/>
                <w:bCs/>
                <w:lang w:eastAsia="zh-CN"/>
              </w:rPr>
              <w:t>服务及要求</w:t>
            </w:r>
          </w:p>
          <w:p w14:paraId="18C0F70B">
            <w:pPr>
              <w:pStyle w:val="48"/>
              <w:jc w:val="both"/>
              <w:rPr>
                <w:rFonts w:hint="eastAsia"/>
                <w:b/>
                <w:bCs/>
              </w:rPr>
            </w:pPr>
          </w:p>
        </w:tc>
        <w:tc>
          <w:tcPr>
            <w:tcW w:w="3690" w:type="dxa"/>
            <w:noWrap w:val="0"/>
            <w:vAlign w:val="center"/>
          </w:tcPr>
          <w:p w14:paraId="50F36CC7">
            <w:pPr>
              <w:pStyle w:val="48"/>
              <w:rPr>
                <w:rFonts w:hint="eastAsia"/>
                <w:b/>
                <w:bCs/>
              </w:rPr>
            </w:pPr>
            <w:r>
              <w:rPr>
                <w:rFonts w:hint="eastAsia"/>
                <w:b/>
                <w:bCs/>
              </w:rPr>
              <w:t>响应文件响应情况</w:t>
            </w:r>
          </w:p>
        </w:tc>
        <w:tc>
          <w:tcPr>
            <w:tcW w:w="1277" w:type="dxa"/>
            <w:noWrap w:val="0"/>
            <w:vAlign w:val="center"/>
          </w:tcPr>
          <w:p w14:paraId="546A4A12">
            <w:pPr>
              <w:pStyle w:val="48"/>
              <w:rPr>
                <w:rFonts w:hint="eastAsia"/>
                <w:b/>
                <w:bCs/>
              </w:rPr>
            </w:pPr>
            <w:r>
              <w:rPr>
                <w:rFonts w:hint="eastAsia"/>
                <w:b/>
                <w:bCs/>
              </w:rPr>
              <w:t>偏离情况</w:t>
            </w:r>
          </w:p>
        </w:tc>
      </w:tr>
      <w:tr w14:paraId="2B39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42D0DFF8">
            <w:pPr>
              <w:pStyle w:val="48"/>
              <w:rPr>
                <w:rFonts w:hint="eastAsia"/>
                <w:b/>
                <w:bCs/>
              </w:rPr>
            </w:pPr>
          </w:p>
        </w:tc>
        <w:tc>
          <w:tcPr>
            <w:tcW w:w="4128" w:type="dxa"/>
            <w:noWrap w:val="0"/>
            <w:vAlign w:val="top"/>
          </w:tcPr>
          <w:p w14:paraId="562D4744">
            <w:pPr>
              <w:pStyle w:val="48"/>
              <w:rPr>
                <w:rFonts w:hint="eastAsia"/>
                <w:b/>
                <w:bCs/>
              </w:rPr>
            </w:pPr>
          </w:p>
        </w:tc>
        <w:tc>
          <w:tcPr>
            <w:tcW w:w="3690" w:type="dxa"/>
            <w:noWrap w:val="0"/>
            <w:vAlign w:val="top"/>
          </w:tcPr>
          <w:p w14:paraId="7EF551A3">
            <w:pPr>
              <w:pStyle w:val="48"/>
              <w:rPr>
                <w:rFonts w:hint="eastAsia"/>
                <w:b/>
                <w:bCs/>
              </w:rPr>
            </w:pPr>
          </w:p>
        </w:tc>
        <w:tc>
          <w:tcPr>
            <w:tcW w:w="1277" w:type="dxa"/>
            <w:noWrap w:val="0"/>
            <w:vAlign w:val="top"/>
          </w:tcPr>
          <w:p w14:paraId="68715615">
            <w:pPr>
              <w:pStyle w:val="48"/>
              <w:rPr>
                <w:rFonts w:hint="eastAsia"/>
                <w:b/>
                <w:bCs/>
              </w:rPr>
            </w:pPr>
          </w:p>
        </w:tc>
      </w:tr>
      <w:tr w14:paraId="3339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2689E0DC">
            <w:pPr>
              <w:pStyle w:val="48"/>
              <w:rPr>
                <w:rFonts w:hint="eastAsia"/>
                <w:b/>
                <w:bCs/>
              </w:rPr>
            </w:pPr>
          </w:p>
        </w:tc>
        <w:tc>
          <w:tcPr>
            <w:tcW w:w="4128" w:type="dxa"/>
            <w:noWrap w:val="0"/>
            <w:vAlign w:val="top"/>
          </w:tcPr>
          <w:p w14:paraId="1605F3A3">
            <w:pPr>
              <w:pStyle w:val="48"/>
              <w:rPr>
                <w:rFonts w:hint="eastAsia"/>
                <w:b/>
                <w:bCs/>
              </w:rPr>
            </w:pPr>
          </w:p>
        </w:tc>
        <w:tc>
          <w:tcPr>
            <w:tcW w:w="3690" w:type="dxa"/>
            <w:noWrap w:val="0"/>
            <w:vAlign w:val="top"/>
          </w:tcPr>
          <w:p w14:paraId="51BCE6D8">
            <w:pPr>
              <w:pStyle w:val="48"/>
              <w:rPr>
                <w:rFonts w:hint="eastAsia"/>
                <w:b/>
                <w:bCs/>
              </w:rPr>
            </w:pPr>
          </w:p>
        </w:tc>
        <w:tc>
          <w:tcPr>
            <w:tcW w:w="1277" w:type="dxa"/>
            <w:noWrap w:val="0"/>
            <w:vAlign w:val="top"/>
          </w:tcPr>
          <w:p w14:paraId="0AD9F5A0">
            <w:pPr>
              <w:pStyle w:val="48"/>
              <w:rPr>
                <w:rFonts w:hint="eastAsia"/>
                <w:b/>
                <w:bCs/>
              </w:rPr>
            </w:pPr>
          </w:p>
        </w:tc>
      </w:tr>
      <w:tr w14:paraId="1CF1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5EF3D782">
            <w:pPr>
              <w:pStyle w:val="48"/>
              <w:rPr>
                <w:rFonts w:hint="eastAsia"/>
                <w:b/>
                <w:bCs/>
              </w:rPr>
            </w:pPr>
          </w:p>
        </w:tc>
        <w:tc>
          <w:tcPr>
            <w:tcW w:w="4128" w:type="dxa"/>
            <w:noWrap w:val="0"/>
            <w:vAlign w:val="top"/>
          </w:tcPr>
          <w:p w14:paraId="0BBC8B25">
            <w:pPr>
              <w:pStyle w:val="48"/>
              <w:rPr>
                <w:rFonts w:hint="eastAsia"/>
                <w:b/>
                <w:bCs/>
              </w:rPr>
            </w:pPr>
          </w:p>
        </w:tc>
        <w:tc>
          <w:tcPr>
            <w:tcW w:w="3690" w:type="dxa"/>
            <w:noWrap w:val="0"/>
            <w:vAlign w:val="top"/>
          </w:tcPr>
          <w:p w14:paraId="41DA20BD">
            <w:pPr>
              <w:pStyle w:val="48"/>
              <w:rPr>
                <w:rFonts w:hint="eastAsia"/>
                <w:b/>
                <w:bCs/>
              </w:rPr>
            </w:pPr>
          </w:p>
        </w:tc>
        <w:tc>
          <w:tcPr>
            <w:tcW w:w="1277" w:type="dxa"/>
            <w:noWrap w:val="0"/>
            <w:vAlign w:val="top"/>
          </w:tcPr>
          <w:p w14:paraId="27EBD93C">
            <w:pPr>
              <w:pStyle w:val="48"/>
              <w:rPr>
                <w:rFonts w:hint="eastAsia"/>
                <w:b/>
                <w:bCs/>
              </w:rPr>
            </w:pPr>
          </w:p>
        </w:tc>
      </w:tr>
      <w:tr w14:paraId="1F58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14D3D7CA">
            <w:pPr>
              <w:pStyle w:val="48"/>
              <w:rPr>
                <w:rFonts w:hint="eastAsia"/>
                <w:b/>
                <w:bCs/>
                <w:sz w:val="24"/>
              </w:rPr>
            </w:pPr>
          </w:p>
        </w:tc>
        <w:tc>
          <w:tcPr>
            <w:tcW w:w="4128" w:type="dxa"/>
            <w:noWrap w:val="0"/>
            <w:vAlign w:val="top"/>
          </w:tcPr>
          <w:p w14:paraId="73BB4C58">
            <w:pPr>
              <w:pStyle w:val="48"/>
              <w:rPr>
                <w:rFonts w:hint="eastAsia"/>
                <w:b/>
                <w:bCs/>
                <w:sz w:val="24"/>
              </w:rPr>
            </w:pPr>
          </w:p>
        </w:tc>
        <w:tc>
          <w:tcPr>
            <w:tcW w:w="3690" w:type="dxa"/>
            <w:noWrap w:val="0"/>
            <w:vAlign w:val="top"/>
          </w:tcPr>
          <w:p w14:paraId="371EFC33">
            <w:pPr>
              <w:pStyle w:val="48"/>
              <w:rPr>
                <w:rFonts w:hint="eastAsia"/>
                <w:b/>
                <w:bCs/>
                <w:sz w:val="24"/>
              </w:rPr>
            </w:pPr>
          </w:p>
        </w:tc>
        <w:tc>
          <w:tcPr>
            <w:tcW w:w="1277" w:type="dxa"/>
            <w:noWrap w:val="0"/>
            <w:vAlign w:val="top"/>
          </w:tcPr>
          <w:p w14:paraId="29F8A39F">
            <w:pPr>
              <w:pStyle w:val="48"/>
              <w:rPr>
                <w:rFonts w:hint="eastAsia"/>
                <w:b/>
                <w:bCs/>
                <w:sz w:val="24"/>
              </w:rPr>
            </w:pPr>
          </w:p>
        </w:tc>
      </w:tr>
    </w:tbl>
    <w:p w14:paraId="0640CF6E">
      <w:pPr>
        <w:tabs>
          <w:tab w:val="left" w:pos="0"/>
        </w:tabs>
        <w:autoSpaceDE w:val="0"/>
        <w:autoSpaceDN w:val="0"/>
        <w:adjustRightInd w:val="0"/>
        <w:spacing w:line="360" w:lineRule="auto"/>
        <w:ind w:firstLine="420" w:firstLineChars="200"/>
        <w:jc w:val="left"/>
        <w:rPr>
          <w:rFonts w:hint="eastAsia"/>
          <w:b/>
          <w:bCs/>
        </w:rPr>
      </w:pPr>
    </w:p>
    <w:p w14:paraId="7ECB0D2C">
      <w:pPr>
        <w:tabs>
          <w:tab w:val="left" w:pos="0"/>
        </w:tabs>
        <w:autoSpaceDE w:val="0"/>
        <w:autoSpaceDN w:val="0"/>
        <w:adjustRightInd w:val="0"/>
        <w:spacing w:line="360" w:lineRule="auto"/>
        <w:ind w:firstLine="420" w:firstLineChars="200"/>
        <w:jc w:val="left"/>
        <w:rPr>
          <w:rFonts w:hint="eastAsia"/>
          <w:b/>
          <w:bCs/>
        </w:rPr>
      </w:pPr>
      <w:r>
        <w:rPr>
          <w:rFonts w:hint="eastAsia"/>
          <w:b/>
          <w:bCs/>
        </w:rPr>
        <w:t>注：如与竞争性磋商文件第五章</w:t>
      </w:r>
      <w:r>
        <w:rPr>
          <w:rFonts w:hint="eastAsia"/>
          <w:b/>
          <w:bCs/>
          <w:lang w:eastAsia="zh-CN"/>
        </w:rPr>
        <w:t>服务及要求</w:t>
      </w:r>
      <w:r>
        <w:rPr>
          <w:rFonts w:hint="eastAsia"/>
          <w:b/>
          <w:bCs/>
        </w:rPr>
        <w:t>内容有偏离(包括正偏离和负偏离)，请将偏离条款逐条应答。如与竞争性磋商文件第五章</w:t>
      </w:r>
      <w:r>
        <w:rPr>
          <w:rFonts w:hint="eastAsia"/>
          <w:b/>
          <w:bCs/>
          <w:lang w:eastAsia="zh-CN"/>
        </w:rPr>
        <w:t>服务及要求</w:t>
      </w:r>
      <w:r>
        <w:rPr>
          <w:rFonts w:hint="eastAsia"/>
          <w:b/>
          <w:bCs/>
        </w:rPr>
        <w:t>所有条款无偏离，则无须在此表中应答，视为默认完全响应和接受竞争性磋商文件第五章</w:t>
      </w:r>
      <w:r>
        <w:rPr>
          <w:rFonts w:hint="eastAsia"/>
          <w:b/>
          <w:bCs/>
          <w:lang w:eastAsia="zh-CN"/>
        </w:rPr>
        <w:t>服务及要求</w:t>
      </w:r>
      <w:r>
        <w:rPr>
          <w:rFonts w:hint="eastAsia"/>
          <w:b/>
          <w:bCs/>
        </w:rPr>
        <w:t>所有的内容，供应商不得以未作应答而拒不接受。供应商必须据实填写，不得虚假应答，否则将取消其成交资格。</w:t>
      </w:r>
    </w:p>
    <w:p w14:paraId="592A380B">
      <w:pPr>
        <w:pStyle w:val="38"/>
        <w:rPr>
          <w:rFonts w:hint="eastAsia"/>
        </w:rPr>
      </w:pPr>
    </w:p>
    <w:p w14:paraId="5E5639BD">
      <w:pPr>
        <w:pStyle w:val="38"/>
        <w:rPr>
          <w:rFonts w:hint="eastAsia"/>
        </w:rPr>
      </w:pPr>
    </w:p>
    <w:p w14:paraId="529D01EA">
      <w:pPr>
        <w:pStyle w:val="39"/>
        <w:rPr>
          <w:rFonts w:hint="eastAsia"/>
        </w:rPr>
      </w:pPr>
      <w:r>
        <w:rPr>
          <w:rFonts w:hint="eastAsia"/>
        </w:rPr>
        <w:t>供应商名称：(盖章)</w:t>
      </w:r>
    </w:p>
    <w:p w14:paraId="40219D51">
      <w:pPr>
        <w:pStyle w:val="39"/>
        <w:rPr>
          <w:rFonts w:hint="eastAsia"/>
        </w:rPr>
      </w:pPr>
      <w:r>
        <w:rPr>
          <w:rFonts w:hint="eastAsia"/>
        </w:rPr>
        <w:t>法定代表人/单位负责人或授权代表：(签字或盖章)</w:t>
      </w:r>
    </w:p>
    <w:p w14:paraId="43BB1317">
      <w:pPr>
        <w:pStyle w:val="39"/>
        <w:rPr>
          <w:rFonts w:hint="eastAsia"/>
        </w:rPr>
      </w:pPr>
      <w:r>
        <w:rPr>
          <w:rFonts w:hint="eastAsia"/>
        </w:rPr>
        <w:t>日期：</w:t>
      </w:r>
    </w:p>
    <w:p w14:paraId="400E1E20">
      <w:pPr>
        <w:pStyle w:val="43"/>
        <w:ind w:firstLine="482"/>
        <w:jc w:val="center"/>
        <w:outlineLvl w:val="2"/>
        <w:rPr>
          <w:rFonts w:hint="eastAsia"/>
        </w:rPr>
      </w:pPr>
      <w:r>
        <w:rPr>
          <w:rFonts w:hint="eastAsia"/>
        </w:rPr>
        <w:br w:type="page"/>
      </w:r>
      <w:bookmarkEnd w:id="170"/>
      <w:bookmarkEnd w:id="171"/>
      <w:bookmarkEnd w:id="172"/>
      <w:bookmarkStart w:id="178" w:name="_Toc20002"/>
      <w:bookmarkStart w:id="179" w:name="_Toc16092"/>
      <w:bookmarkStart w:id="180" w:name="_Toc19939"/>
      <w:r>
        <w:rPr>
          <w:rFonts w:hint="eastAsia"/>
          <w:sz w:val="28"/>
        </w:rPr>
        <w:t>七、服务方案</w:t>
      </w:r>
      <w:bookmarkEnd w:id="178"/>
      <w:bookmarkEnd w:id="179"/>
      <w:bookmarkEnd w:id="180"/>
    </w:p>
    <w:p w14:paraId="11410D7F">
      <w:pPr>
        <w:pStyle w:val="43"/>
        <w:ind w:firstLine="482"/>
        <w:rPr>
          <w:rFonts w:hint="eastAsia"/>
        </w:rPr>
      </w:pPr>
      <w:r>
        <w:rPr>
          <w:rFonts w:hint="eastAsia"/>
        </w:rPr>
        <w:t>注：格式自拟。</w:t>
      </w:r>
    </w:p>
    <w:p w14:paraId="5B04BC32">
      <w:pPr>
        <w:pStyle w:val="44"/>
        <w:numPr>
          <w:ilvl w:val="0"/>
          <w:numId w:val="0"/>
        </w:numPr>
        <w:spacing w:before="120" w:after="120"/>
      </w:pPr>
      <w:bookmarkStart w:id="181" w:name="_Toc10668"/>
      <w:bookmarkStart w:id="182" w:name="_Toc26857"/>
      <w:r>
        <w:rPr>
          <w:rFonts w:hint="eastAsia"/>
        </w:rPr>
        <w:t>八、最终报价表</w:t>
      </w:r>
      <w:bookmarkEnd w:id="181"/>
      <w:bookmarkEnd w:id="182"/>
    </w:p>
    <w:p w14:paraId="2A857584">
      <w:pPr>
        <w:tabs>
          <w:tab w:val="left" w:pos="0"/>
        </w:tabs>
        <w:jc w:val="center"/>
        <w:rPr>
          <w:rFonts w:hint="eastAsia" w:cs="宋体"/>
          <w:color w:val="000000"/>
          <w:sz w:val="32"/>
          <w:szCs w:val="32"/>
        </w:rPr>
      </w:pPr>
      <w:r>
        <w:rPr>
          <w:rFonts w:hint="eastAsia" w:cs="宋体"/>
          <w:color w:val="000000"/>
          <w:sz w:val="32"/>
          <w:szCs w:val="28"/>
        </w:rPr>
        <w:t>第</w:t>
      </w:r>
      <w:r>
        <w:rPr>
          <w:rFonts w:hint="eastAsia" w:cs="宋体"/>
          <w:color w:val="000000"/>
          <w:sz w:val="32"/>
          <w:szCs w:val="28"/>
          <w:lang w:val="en-US" w:eastAsia="zh-CN"/>
        </w:rPr>
        <w:t xml:space="preserve">  </w:t>
      </w:r>
      <w:r>
        <w:rPr>
          <w:rFonts w:hint="eastAsia" w:cs="宋体"/>
          <w:color w:val="000000"/>
          <w:sz w:val="32"/>
          <w:szCs w:val="28"/>
        </w:rPr>
        <w:t>轮报价/最后报价(</w:t>
      </w:r>
      <w:r>
        <w:rPr>
          <w:rFonts w:hint="eastAsia" w:cs="宋体"/>
          <w:b/>
          <w:color w:val="000000"/>
          <w:sz w:val="32"/>
          <w:szCs w:val="28"/>
        </w:rPr>
        <w:t>根据磋商实际情况选择</w:t>
      </w:r>
      <w:r>
        <w:rPr>
          <w:rFonts w:hint="eastAsia" w:cs="宋体"/>
          <w:color w:val="000000"/>
          <w:sz w:val="32"/>
          <w:szCs w:val="28"/>
        </w:rPr>
        <w:t>)</w:t>
      </w:r>
    </w:p>
    <w:p w14:paraId="33A76DEB">
      <w:pPr>
        <w:tabs>
          <w:tab w:val="left" w:pos="0"/>
        </w:tabs>
        <w:rPr>
          <w:rFonts w:hint="eastAsia" w:eastAsia="宋体" w:cs="宋体"/>
          <w:color w:val="000000"/>
          <w:szCs w:val="24"/>
          <w:u w:val="single"/>
          <w:lang w:eastAsia="zh-CN"/>
        </w:rPr>
      </w:pPr>
      <w:r>
        <w:rPr>
          <w:rFonts w:hint="eastAsia" w:cs="宋体"/>
          <w:color w:val="000000"/>
          <w:szCs w:val="24"/>
        </w:rPr>
        <w:t>项目名称：</w:t>
      </w:r>
    </w:p>
    <w:p w14:paraId="51754EA6">
      <w:pPr>
        <w:tabs>
          <w:tab w:val="left" w:pos="0"/>
        </w:tabs>
        <w:jc w:val="both"/>
        <w:rPr>
          <w:rFonts w:hint="eastAsia" w:cs="宋体"/>
          <w:color w:val="FF0000"/>
          <w:szCs w:val="24"/>
        </w:rPr>
      </w:pPr>
      <w:r>
        <w:rPr>
          <w:rFonts w:hint="eastAsia" w:cs="宋体"/>
          <w:color w:val="000000"/>
          <w:szCs w:val="24"/>
        </w:rPr>
        <w:t>项目编号：</w:t>
      </w:r>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287"/>
        <w:gridCol w:w="4131"/>
      </w:tblGrid>
      <w:tr w14:paraId="0D39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noWrap w:val="0"/>
            <w:vAlign w:val="center"/>
          </w:tcPr>
          <w:p w14:paraId="12115A03">
            <w:pPr>
              <w:tabs>
                <w:tab w:val="left" w:pos="0"/>
              </w:tabs>
              <w:wordWrap w:val="0"/>
              <w:topLinePunct/>
              <w:spacing w:line="360" w:lineRule="exact"/>
              <w:jc w:val="center"/>
              <w:rPr>
                <w:rFonts w:hint="eastAsia" w:cs="宋体"/>
                <w:b/>
                <w:color w:val="000000"/>
                <w:sz w:val="21"/>
                <w:szCs w:val="21"/>
              </w:rPr>
            </w:pPr>
            <w:r>
              <w:rPr>
                <w:rFonts w:hint="eastAsia" w:cs="宋体"/>
                <w:b/>
                <w:color w:val="000000"/>
                <w:sz w:val="21"/>
                <w:szCs w:val="21"/>
              </w:rPr>
              <w:t>序号</w:t>
            </w:r>
          </w:p>
        </w:tc>
        <w:tc>
          <w:tcPr>
            <w:tcW w:w="4287" w:type="dxa"/>
            <w:noWrap w:val="0"/>
            <w:vAlign w:val="center"/>
          </w:tcPr>
          <w:p w14:paraId="2404E05C">
            <w:pPr>
              <w:tabs>
                <w:tab w:val="left" w:pos="0"/>
              </w:tabs>
              <w:wordWrap w:val="0"/>
              <w:topLinePunct/>
              <w:spacing w:line="360" w:lineRule="exact"/>
              <w:jc w:val="center"/>
              <w:rPr>
                <w:rFonts w:hint="eastAsia" w:cs="宋体"/>
                <w:b/>
                <w:color w:val="000000"/>
                <w:sz w:val="21"/>
                <w:szCs w:val="21"/>
              </w:rPr>
            </w:pPr>
            <w:r>
              <w:rPr>
                <w:rFonts w:hint="eastAsia" w:cs="宋体"/>
                <w:b/>
                <w:color w:val="000000"/>
                <w:sz w:val="21"/>
                <w:szCs w:val="21"/>
              </w:rPr>
              <w:t>服务内容</w:t>
            </w:r>
          </w:p>
        </w:tc>
        <w:tc>
          <w:tcPr>
            <w:tcW w:w="4131" w:type="dxa"/>
            <w:noWrap w:val="0"/>
            <w:vAlign w:val="center"/>
          </w:tcPr>
          <w:p w14:paraId="6B19BCFC">
            <w:pPr>
              <w:tabs>
                <w:tab w:val="left" w:pos="0"/>
              </w:tabs>
              <w:wordWrap w:val="0"/>
              <w:topLinePunct/>
              <w:spacing w:line="360" w:lineRule="exact"/>
              <w:jc w:val="center"/>
              <w:rPr>
                <w:rFonts w:cs="宋体"/>
                <w:b/>
                <w:color w:val="000000"/>
                <w:sz w:val="21"/>
                <w:szCs w:val="21"/>
              </w:rPr>
            </w:pPr>
            <w:r>
              <w:rPr>
                <w:rFonts w:hint="eastAsia" w:cs="宋体"/>
                <w:b/>
                <w:color w:val="000000"/>
                <w:sz w:val="21"/>
                <w:szCs w:val="21"/>
              </w:rPr>
              <w:t>履约时间</w:t>
            </w:r>
          </w:p>
        </w:tc>
      </w:tr>
      <w:tr w14:paraId="1DB4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88" w:type="dxa"/>
            <w:noWrap w:val="0"/>
            <w:vAlign w:val="center"/>
          </w:tcPr>
          <w:p w14:paraId="159FFE68">
            <w:pPr>
              <w:tabs>
                <w:tab w:val="left" w:pos="0"/>
              </w:tabs>
              <w:wordWrap w:val="0"/>
              <w:topLinePunct/>
              <w:spacing w:line="360" w:lineRule="auto"/>
              <w:jc w:val="center"/>
              <w:rPr>
                <w:rFonts w:hint="eastAsia" w:cs="宋体"/>
                <w:bCs/>
                <w:color w:val="000000"/>
                <w:sz w:val="21"/>
                <w:szCs w:val="21"/>
              </w:rPr>
            </w:pPr>
            <w:r>
              <w:rPr>
                <w:rFonts w:hint="eastAsia" w:cs="宋体"/>
                <w:bCs/>
                <w:color w:val="000000"/>
                <w:sz w:val="21"/>
                <w:szCs w:val="21"/>
              </w:rPr>
              <w:t>1</w:t>
            </w:r>
          </w:p>
        </w:tc>
        <w:tc>
          <w:tcPr>
            <w:tcW w:w="4287" w:type="dxa"/>
            <w:noWrap w:val="0"/>
            <w:vAlign w:val="center"/>
          </w:tcPr>
          <w:p w14:paraId="3AE592DD">
            <w:pPr>
              <w:tabs>
                <w:tab w:val="left" w:pos="0"/>
              </w:tabs>
              <w:wordWrap w:val="0"/>
              <w:topLinePunct/>
              <w:spacing w:line="360" w:lineRule="auto"/>
              <w:jc w:val="center"/>
              <w:rPr>
                <w:rFonts w:hint="eastAsia" w:cs="宋体"/>
                <w:bCs/>
                <w:color w:val="000000"/>
                <w:sz w:val="21"/>
                <w:szCs w:val="21"/>
              </w:rPr>
            </w:pPr>
          </w:p>
        </w:tc>
        <w:tc>
          <w:tcPr>
            <w:tcW w:w="4131" w:type="dxa"/>
            <w:noWrap w:val="0"/>
            <w:vAlign w:val="center"/>
          </w:tcPr>
          <w:p w14:paraId="26C3E59C">
            <w:pPr>
              <w:tabs>
                <w:tab w:val="left" w:pos="0"/>
              </w:tabs>
              <w:wordWrap w:val="0"/>
              <w:topLinePunct/>
              <w:spacing w:line="360" w:lineRule="auto"/>
              <w:jc w:val="center"/>
              <w:rPr>
                <w:rFonts w:cs="宋体"/>
                <w:bCs/>
                <w:color w:val="000000"/>
                <w:sz w:val="21"/>
                <w:szCs w:val="21"/>
              </w:rPr>
            </w:pPr>
          </w:p>
        </w:tc>
      </w:tr>
      <w:tr w14:paraId="3083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88" w:type="dxa"/>
            <w:noWrap w:val="0"/>
            <w:vAlign w:val="center"/>
          </w:tcPr>
          <w:p w14:paraId="596959FF">
            <w:pPr>
              <w:tabs>
                <w:tab w:val="left" w:pos="0"/>
              </w:tabs>
              <w:wordWrap w:val="0"/>
              <w:topLinePunct/>
              <w:spacing w:line="360" w:lineRule="exact"/>
              <w:jc w:val="center"/>
              <w:rPr>
                <w:rFonts w:hint="eastAsia" w:eastAsia="等线" w:cs="宋体"/>
                <w:bCs/>
                <w:color w:val="000000"/>
                <w:sz w:val="21"/>
                <w:szCs w:val="21"/>
                <w:lang w:val="en-US" w:eastAsia="zh-CN"/>
              </w:rPr>
            </w:pPr>
            <w:r>
              <w:rPr>
                <w:rFonts w:hint="eastAsia" w:cs="宋体"/>
                <w:bCs/>
                <w:color w:val="000000"/>
                <w:sz w:val="21"/>
                <w:szCs w:val="21"/>
                <w:lang w:val="en-US" w:eastAsia="zh-CN"/>
              </w:rPr>
              <w:t>2</w:t>
            </w:r>
          </w:p>
        </w:tc>
        <w:tc>
          <w:tcPr>
            <w:tcW w:w="4287" w:type="dxa"/>
            <w:noWrap w:val="0"/>
            <w:vAlign w:val="center"/>
          </w:tcPr>
          <w:p w14:paraId="1CFBEEB9">
            <w:pPr>
              <w:tabs>
                <w:tab w:val="left" w:pos="0"/>
              </w:tabs>
              <w:wordWrap w:val="0"/>
              <w:topLinePunct/>
              <w:spacing w:line="360" w:lineRule="exact"/>
              <w:rPr>
                <w:rFonts w:hint="eastAsia" w:cs="宋体"/>
                <w:color w:val="000000"/>
                <w:sz w:val="21"/>
                <w:szCs w:val="21"/>
              </w:rPr>
            </w:pPr>
          </w:p>
        </w:tc>
        <w:tc>
          <w:tcPr>
            <w:tcW w:w="4131" w:type="dxa"/>
            <w:noWrap w:val="0"/>
            <w:vAlign w:val="center"/>
          </w:tcPr>
          <w:p w14:paraId="10D33DE5">
            <w:pPr>
              <w:tabs>
                <w:tab w:val="left" w:pos="0"/>
              </w:tabs>
              <w:wordWrap w:val="0"/>
              <w:topLinePunct/>
              <w:spacing w:line="360" w:lineRule="exact"/>
              <w:rPr>
                <w:rFonts w:hint="eastAsia" w:cs="宋体"/>
                <w:color w:val="000000"/>
                <w:sz w:val="21"/>
                <w:szCs w:val="21"/>
              </w:rPr>
            </w:pPr>
          </w:p>
        </w:tc>
      </w:tr>
      <w:tr w14:paraId="605B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88" w:type="dxa"/>
            <w:noWrap w:val="0"/>
            <w:vAlign w:val="center"/>
          </w:tcPr>
          <w:p w14:paraId="7C1DB887">
            <w:pPr>
              <w:tabs>
                <w:tab w:val="left" w:pos="0"/>
              </w:tabs>
              <w:wordWrap w:val="0"/>
              <w:topLinePunct/>
              <w:spacing w:line="360" w:lineRule="exact"/>
              <w:jc w:val="center"/>
              <w:rPr>
                <w:rFonts w:hint="default" w:cs="宋体"/>
                <w:bCs/>
                <w:color w:val="000000"/>
                <w:sz w:val="21"/>
                <w:szCs w:val="21"/>
                <w:lang w:val="en-US" w:eastAsia="zh-CN"/>
              </w:rPr>
            </w:pPr>
            <w:r>
              <w:rPr>
                <w:rFonts w:hint="eastAsia" w:cs="宋体"/>
                <w:bCs/>
                <w:color w:val="000000"/>
                <w:sz w:val="21"/>
                <w:szCs w:val="21"/>
                <w:lang w:val="en-US" w:eastAsia="zh-CN"/>
              </w:rPr>
              <w:t>3</w:t>
            </w:r>
          </w:p>
        </w:tc>
        <w:tc>
          <w:tcPr>
            <w:tcW w:w="4287" w:type="dxa"/>
            <w:noWrap w:val="0"/>
            <w:vAlign w:val="center"/>
          </w:tcPr>
          <w:p w14:paraId="0ECB178E">
            <w:pPr>
              <w:tabs>
                <w:tab w:val="left" w:pos="0"/>
              </w:tabs>
              <w:wordWrap w:val="0"/>
              <w:topLinePunct/>
              <w:spacing w:line="360" w:lineRule="exact"/>
              <w:rPr>
                <w:rFonts w:hint="eastAsia" w:cs="宋体"/>
                <w:color w:val="000000"/>
                <w:sz w:val="21"/>
                <w:szCs w:val="21"/>
              </w:rPr>
            </w:pPr>
          </w:p>
        </w:tc>
        <w:tc>
          <w:tcPr>
            <w:tcW w:w="4131" w:type="dxa"/>
            <w:noWrap w:val="0"/>
            <w:vAlign w:val="center"/>
          </w:tcPr>
          <w:p w14:paraId="368F0B81">
            <w:pPr>
              <w:tabs>
                <w:tab w:val="left" w:pos="0"/>
              </w:tabs>
              <w:wordWrap w:val="0"/>
              <w:topLinePunct/>
              <w:spacing w:line="360" w:lineRule="exact"/>
              <w:rPr>
                <w:rFonts w:hint="eastAsia" w:cs="宋体"/>
                <w:color w:val="000000"/>
                <w:sz w:val="21"/>
                <w:szCs w:val="21"/>
              </w:rPr>
            </w:pPr>
          </w:p>
        </w:tc>
      </w:tr>
      <w:tr w14:paraId="229F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88" w:type="dxa"/>
            <w:noWrap w:val="0"/>
            <w:vAlign w:val="center"/>
          </w:tcPr>
          <w:p w14:paraId="6EABF01E">
            <w:pPr>
              <w:tabs>
                <w:tab w:val="left" w:pos="0"/>
              </w:tabs>
              <w:wordWrap w:val="0"/>
              <w:topLinePunct/>
              <w:spacing w:line="360" w:lineRule="exact"/>
              <w:jc w:val="center"/>
              <w:rPr>
                <w:rFonts w:hint="default" w:cs="宋体"/>
                <w:bCs/>
                <w:color w:val="000000"/>
                <w:sz w:val="21"/>
                <w:szCs w:val="21"/>
                <w:lang w:val="en-US" w:eastAsia="zh-CN"/>
              </w:rPr>
            </w:pPr>
            <w:r>
              <w:rPr>
                <w:rFonts w:hint="eastAsia" w:cs="宋体"/>
                <w:bCs/>
                <w:color w:val="000000"/>
                <w:sz w:val="21"/>
                <w:szCs w:val="21"/>
                <w:lang w:val="en-US" w:eastAsia="zh-CN"/>
              </w:rPr>
              <w:t>4</w:t>
            </w:r>
          </w:p>
        </w:tc>
        <w:tc>
          <w:tcPr>
            <w:tcW w:w="4287" w:type="dxa"/>
            <w:noWrap w:val="0"/>
            <w:vAlign w:val="center"/>
          </w:tcPr>
          <w:p w14:paraId="72C20B3D">
            <w:pPr>
              <w:tabs>
                <w:tab w:val="left" w:pos="0"/>
              </w:tabs>
              <w:wordWrap w:val="0"/>
              <w:topLinePunct/>
              <w:spacing w:line="360" w:lineRule="exact"/>
              <w:rPr>
                <w:rFonts w:hint="eastAsia" w:cs="宋体"/>
                <w:color w:val="000000"/>
                <w:sz w:val="21"/>
                <w:szCs w:val="21"/>
              </w:rPr>
            </w:pPr>
          </w:p>
        </w:tc>
        <w:tc>
          <w:tcPr>
            <w:tcW w:w="4131" w:type="dxa"/>
            <w:noWrap w:val="0"/>
            <w:vAlign w:val="center"/>
          </w:tcPr>
          <w:p w14:paraId="4946763C">
            <w:pPr>
              <w:tabs>
                <w:tab w:val="left" w:pos="0"/>
              </w:tabs>
              <w:wordWrap w:val="0"/>
              <w:topLinePunct/>
              <w:spacing w:line="360" w:lineRule="exact"/>
              <w:rPr>
                <w:rFonts w:hint="eastAsia" w:cs="宋体"/>
                <w:color w:val="000000"/>
                <w:sz w:val="21"/>
                <w:szCs w:val="21"/>
              </w:rPr>
            </w:pPr>
          </w:p>
        </w:tc>
      </w:tr>
      <w:tr w14:paraId="2B8A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noWrap w:val="0"/>
            <w:vAlign w:val="center"/>
          </w:tcPr>
          <w:p w14:paraId="46033647">
            <w:pPr>
              <w:tabs>
                <w:tab w:val="left" w:pos="0"/>
              </w:tabs>
              <w:wordWrap w:val="0"/>
              <w:topLinePunct/>
              <w:spacing w:line="360" w:lineRule="exact"/>
              <w:jc w:val="center"/>
              <w:rPr>
                <w:rFonts w:cs="宋体"/>
                <w:color w:val="000000"/>
                <w:sz w:val="21"/>
                <w:szCs w:val="21"/>
              </w:rPr>
            </w:pPr>
            <w:r>
              <w:rPr>
                <w:rFonts w:hint="eastAsia" w:cs="宋体"/>
                <w:bCs/>
                <w:color w:val="000000"/>
                <w:sz w:val="21"/>
                <w:szCs w:val="21"/>
              </w:rPr>
              <w:t>总报价(元)</w:t>
            </w:r>
          </w:p>
        </w:tc>
        <w:tc>
          <w:tcPr>
            <w:tcW w:w="8418" w:type="dxa"/>
            <w:gridSpan w:val="2"/>
            <w:noWrap w:val="0"/>
            <w:vAlign w:val="center"/>
          </w:tcPr>
          <w:p w14:paraId="11F2EE36">
            <w:pPr>
              <w:tabs>
                <w:tab w:val="left" w:pos="0"/>
              </w:tabs>
              <w:wordWrap w:val="0"/>
              <w:topLinePunct/>
              <w:spacing w:line="360" w:lineRule="exact"/>
              <w:rPr>
                <w:rFonts w:cs="宋体"/>
                <w:color w:val="000000"/>
                <w:sz w:val="21"/>
                <w:szCs w:val="21"/>
              </w:rPr>
            </w:pPr>
            <w:r>
              <w:rPr>
                <w:rFonts w:hint="eastAsia" w:cs="宋体"/>
                <w:color w:val="000000"/>
                <w:sz w:val="21"/>
                <w:szCs w:val="21"/>
              </w:rPr>
              <w:t>人民币小写：</w:t>
            </w:r>
          </w:p>
        </w:tc>
      </w:tr>
      <w:tr w14:paraId="7364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noWrap w:val="0"/>
            <w:vAlign w:val="center"/>
          </w:tcPr>
          <w:p w14:paraId="2581034A">
            <w:pPr>
              <w:tabs>
                <w:tab w:val="left" w:pos="0"/>
              </w:tabs>
              <w:wordWrap w:val="0"/>
              <w:topLinePunct/>
              <w:spacing w:line="360" w:lineRule="auto"/>
            </w:pPr>
          </w:p>
        </w:tc>
        <w:tc>
          <w:tcPr>
            <w:tcW w:w="8418" w:type="dxa"/>
            <w:gridSpan w:val="2"/>
            <w:noWrap w:val="0"/>
            <w:vAlign w:val="center"/>
          </w:tcPr>
          <w:p w14:paraId="2C79B2C0">
            <w:pPr>
              <w:tabs>
                <w:tab w:val="left" w:pos="0"/>
              </w:tabs>
              <w:wordWrap w:val="0"/>
              <w:topLinePunct/>
              <w:spacing w:line="360" w:lineRule="exact"/>
              <w:rPr>
                <w:rFonts w:cs="宋体"/>
                <w:color w:val="000000"/>
                <w:sz w:val="21"/>
                <w:szCs w:val="21"/>
              </w:rPr>
            </w:pPr>
            <w:r>
              <w:rPr>
                <w:rFonts w:hint="eastAsia" w:cs="宋体"/>
                <w:color w:val="000000"/>
                <w:sz w:val="21"/>
                <w:szCs w:val="21"/>
              </w:rPr>
              <w:t>人民币大写：</w:t>
            </w:r>
          </w:p>
        </w:tc>
      </w:tr>
    </w:tbl>
    <w:p w14:paraId="0C09DC7B">
      <w:pPr>
        <w:pStyle w:val="43"/>
        <w:ind w:firstLine="482"/>
        <w:rPr>
          <w:rFonts w:hint="eastAsia"/>
          <w:lang w:val="zh-CN"/>
        </w:rPr>
      </w:pPr>
      <w:r>
        <w:rPr>
          <w:rFonts w:hint="eastAsia"/>
        </w:rPr>
        <w:t>注：1.</w:t>
      </w:r>
      <w:r>
        <w:rPr>
          <w:rFonts w:hint="eastAsia"/>
          <w:lang w:val="zh-CN"/>
        </w:rPr>
        <w:t>报价应为完成本竞争性磋商文件中所要求的</w:t>
      </w:r>
      <w:r>
        <w:rPr>
          <w:rFonts w:hint="eastAsia"/>
        </w:rPr>
        <w:t>服务</w:t>
      </w:r>
      <w:r>
        <w:rPr>
          <w:rFonts w:hint="eastAsia"/>
          <w:lang w:val="zh-CN"/>
        </w:rPr>
        <w:t>所应包括内容的所有价格，</w:t>
      </w:r>
      <w:r>
        <w:rPr>
          <w:rFonts w:hint="eastAsia"/>
        </w:rPr>
        <w:t>包含人工劳务、设备投入、成果、保险、税费、利润、招标代理服务费等完成本项目所需的一切费用</w:t>
      </w:r>
      <w:r>
        <w:rPr>
          <w:rFonts w:hint="eastAsia"/>
          <w:lang w:val="zh-CN"/>
        </w:rPr>
        <w:t>。</w:t>
      </w:r>
    </w:p>
    <w:p w14:paraId="61FDA061">
      <w:pPr>
        <w:pStyle w:val="43"/>
        <w:ind w:firstLine="482"/>
        <w:rPr>
          <w:rFonts w:hint="eastAsia"/>
        </w:rPr>
      </w:pPr>
      <w:r>
        <w:rPr>
          <w:rFonts w:hint="eastAsia"/>
          <w:lang w:val="zh-CN"/>
        </w:rPr>
        <w:t>2.响应文件中不含最终报价表。</w:t>
      </w:r>
    </w:p>
    <w:p w14:paraId="11069EF4">
      <w:pPr>
        <w:tabs>
          <w:tab w:val="left" w:pos="540"/>
          <w:tab w:val="left" w:pos="900"/>
        </w:tabs>
        <w:rPr>
          <w:rFonts w:hint="eastAsia" w:cs="宋体"/>
          <w:color w:val="000000"/>
        </w:rPr>
      </w:pPr>
    </w:p>
    <w:p w14:paraId="13B56D63">
      <w:pPr>
        <w:tabs>
          <w:tab w:val="left" w:pos="540"/>
          <w:tab w:val="left" w:pos="900"/>
        </w:tabs>
        <w:rPr>
          <w:rFonts w:hint="eastAsia" w:cs="宋体"/>
          <w:color w:val="000000"/>
        </w:rPr>
      </w:pPr>
    </w:p>
    <w:p w14:paraId="430D9AFA">
      <w:pPr>
        <w:pStyle w:val="39"/>
        <w:rPr>
          <w:rFonts w:hint="eastAsia"/>
          <w:u w:val="single"/>
        </w:rPr>
      </w:pPr>
      <w:r>
        <w:rPr>
          <w:rFonts w:hint="eastAsia"/>
        </w:rPr>
        <w:t>供应商名称：（盖单位公章）</w:t>
      </w:r>
    </w:p>
    <w:p w14:paraId="4B9656CE">
      <w:pPr>
        <w:pStyle w:val="39"/>
        <w:rPr>
          <w:rFonts w:hint="eastAsia"/>
        </w:rPr>
      </w:pPr>
      <w:r>
        <w:rPr>
          <w:rFonts w:hint="eastAsia"/>
        </w:rPr>
        <w:t>法定代表人/单位负责人或授权代表：(签字或盖章)</w:t>
      </w:r>
    </w:p>
    <w:p w14:paraId="3E3DFDFE">
      <w:pPr>
        <w:pStyle w:val="43"/>
        <w:rPr>
          <w:rFonts w:hint="eastAsia"/>
          <w:b w:val="0"/>
          <w:snapToGrid/>
        </w:rPr>
      </w:pPr>
      <w:r>
        <w:rPr>
          <w:rFonts w:hint="eastAsia"/>
          <w:b w:val="0"/>
          <w:snapToGrid/>
        </w:rPr>
        <w:t>报价日期：</w:t>
      </w:r>
      <w:r>
        <w:rPr>
          <w:rFonts w:hint="eastAsia"/>
          <w:b w:val="0"/>
          <w:snapToGrid/>
          <w:lang w:val="en-US" w:eastAsia="zh-CN"/>
        </w:rPr>
        <w:t xml:space="preserve">   </w:t>
      </w:r>
      <w:r>
        <w:rPr>
          <w:rFonts w:hint="eastAsia"/>
          <w:b w:val="0"/>
          <w:snapToGrid/>
        </w:rPr>
        <w:t>年</w:t>
      </w:r>
      <w:r>
        <w:rPr>
          <w:rFonts w:hint="eastAsia"/>
          <w:b w:val="0"/>
          <w:snapToGrid/>
          <w:lang w:val="en-US" w:eastAsia="zh-CN"/>
        </w:rPr>
        <w:t xml:space="preserve">    </w:t>
      </w:r>
      <w:r>
        <w:rPr>
          <w:rFonts w:hint="eastAsia"/>
          <w:b w:val="0"/>
          <w:snapToGrid/>
        </w:rPr>
        <w:t>月</w:t>
      </w:r>
      <w:r>
        <w:rPr>
          <w:rFonts w:hint="eastAsia"/>
          <w:b w:val="0"/>
          <w:snapToGrid/>
          <w:lang w:val="en-US" w:eastAsia="zh-CN"/>
        </w:rPr>
        <w:t xml:space="preserve">   </w:t>
      </w:r>
      <w:r>
        <w:rPr>
          <w:rFonts w:hint="eastAsia"/>
          <w:b w:val="0"/>
          <w:snapToGrid/>
        </w:rPr>
        <w:t>日</w:t>
      </w:r>
    </w:p>
    <w:p w14:paraId="60DF9227">
      <w:pPr>
        <w:pStyle w:val="43"/>
        <w:rPr>
          <w:rFonts w:hint="eastAsia"/>
          <w:b w:val="0"/>
          <w:snapToGrid/>
        </w:rPr>
      </w:pPr>
    </w:p>
    <w:p w14:paraId="1877CD8A">
      <w:pPr>
        <w:pStyle w:val="43"/>
        <w:ind w:firstLine="0" w:firstLineChars="0"/>
        <w:rPr>
          <w:rFonts w:hint="eastAsia" w:eastAsia="宋体"/>
          <w:b w:val="0"/>
          <w:snapToGrid/>
          <w:lang w:eastAsia="zh-CN"/>
        </w:rPr>
      </w:pPr>
      <w:r>
        <w:rPr>
          <w:rFonts w:hint="eastAsia"/>
          <w:snapToGrid/>
        </w:rPr>
        <w:t>温馨提示：</w:t>
      </w:r>
      <w:r>
        <w:rPr>
          <w:rFonts w:hint="eastAsia"/>
          <w:b w:val="0"/>
          <w:snapToGrid/>
        </w:rPr>
        <w:t>最终报价表至少提供原件一份；供应商可将最终报价表填好，签字盖章后带到磋商现场，待响应文件通过审查后在规定时间内递交；供应商也可在磋商现场填写，但必须在磋商小组规定的时间内递交，未在规定时间内递交视为自愿放弃最后报价资格。</w:t>
      </w:r>
      <w:r>
        <w:rPr>
          <w:rFonts w:hint="eastAsia"/>
          <w:b w:val="0"/>
          <w:snapToGrid/>
          <w:lang w:eastAsia="zh-CN"/>
        </w:rPr>
        <w:t>现场填写的最终报价表由授权代表签字盖章有效（无公章的，授权代表按手印具有同等效力）。</w:t>
      </w:r>
    </w:p>
    <w:p w14:paraId="5598E6F8">
      <w:pPr>
        <w:pStyle w:val="43"/>
        <w:ind w:firstLine="482"/>
        <w:rPr>
          <w:rFonts w:hint="eastAsia"/>
        </w:rPr>
      </w:pPr>
    </w:p>
    <w:p w14:paraId="31944C82">
      <w:pPr>
        <w:pStyle w:val="2"/>
        <w:pageBreakBefore/>
        <w:snapToGrid w:val="0"/>
        <w:spacing w:before="0" w:after="0" w:line="312"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第八章  评审方法</w:t>
      </w:r>
      <w:bookmarkEnd w:id="100"/>
      <w:bookmarkEnd w:id="101"/>
      <w:bookmarkEnd w:id="102"/>
    </w:p>
    <w:p w14:paraId="54A0F93C">
      <w:pPr>
        <w:snapToGrid w:val="0"/>
        <w:spacing w:line="312" w:lineRule="auto"/>
        <w:rPr>
          <w:rFonts w:hint="eastAsia" w:ascii="仿宋" w:hAnsi="仿宋" w:eastAsia="仿宋" w:cs="仿宋"/>
          <w:color w:val="auto"/>
          <w:highlight w:val="none"/>
        </w:rPr>
      </w:pPr>
      <w:bookmarkStart w:id="183" w:name="_Toc209847065"/>
      <w:bookmarkStart w:id="184" w:name="_Toc101338358"/>
      <w:bookmarkStart w:id="185" w:name="_Toc101174146"/>
      <w:bookmarkStart w:id="186" w:name="_Toc101250640"/>
      <w:bookmarkStart w:id="187" w:name="_Toc430773924"/>
    </w:p>
    <w:p w14:paraId="7BBA8827">
      <w:pPr>
        <w:pStyle w:val="3"/>
        <w:keepNext w:val="0"/>
        <w:keepLines w:val="0"/>
        <w:snapToGrid w:val="0"/>
        <w:spacing w:before="0" w:after="0" w:line="312"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1.总则</w:t>
      </w:r>
    </w:p>
    <w:p w14:paraId="02B3FA4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 按照《中华人民共和国政府采购法》、《中华人民共和国政府采购法实施条例》、《政府采购竞争性磋商采购方式管理暂行办法》等法律制度，结合本采购项目特点制定本磋商方法。</w:t>
      </w:r>
    </w:p>
    <w:p w14:paraId="27183BD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 磋商工作由采购代理机构负责组织，具体磋商由采购代理机构依法组建的磋商小组负责。</w:t>
      </w:r>
    </w:p>
    <w:p w14:paraId="25C344F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 磋商工作应遵循公平、公正、科学及择优的原则，并以相同的磋商程序和标准对待所有的供应商。</w:t>
      </w:r>
    </w:p>
    <w:p w14:paraId="48FBE92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 磋商小组参照四川省财政厅关于印发《四川省政府采购评审工作规程（修订）》的通知（川财采【2016】53号），四川省财政厅关于延长《四川省政府采购评审工作规程（修订）》有效期的通知（川财采[2022]7号）及按照磋商文件规定的磋商程序、评分方法和标准进行评审，并独立履行下列职责：</w:t>
      </w:r>
    </w:p>
    <w:p w14:paraId="220D4DB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履行下列职责：</w:t>
      </w:r>
    </w:p>
    <w:p w14:paraId="1AFCABC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（1）熟悉和理解磋商文件，确定磋商文件内容是否违反国家有关强制性规定或者磋商文件存在歧义、重大缺陷，根据需要书面要求采购人对磋商文件作出解释；</w:t>
      </w:r>
    </w:p>
    <w:p w14:paraId="169CD60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（2）审查供应商响应文件是否满足磋商文件要求，并作出公正评价；</w:t>
      </w:r>
    </w:p>
    <w:p w14:paraId="21433A5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（3）根据需要要求供应商对响应文件中含义不明确、同类问题表述不一致或者有明显文字和计算错误的内容等作出必要的澄清、说明或者更正；</w:t>
      </w:r>
    </w:p>
    <w:p w14:paraId="0D53886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（4）推荐成交供应商，或者受采购人委托确定成交供应商（以“供应商须知附表”规定为准）；</w:t>
      </w:r>
    </w:p>
    <w:p w14:paraId="7121BDB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（5）起草评审报告并进行签署；</w:t>
      </w:r>
    </w:p>
    <w:p w14:paraId="6932692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（6）向采购人、财政部门或者其他监督部门报告非法干预评审工作的行为；</w:t>
      </w:r>
    </w:p>
    <w:p w14:paraId="7FF15FA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（7）法律、法规和规章规定的其他职责。</w:t>
      </w:r>
    </w:p>
    <w:p w14:paraId="154F069A">
      <w:pPr>
        <w:snapToGrid w:val="0"/>
        <w:spacing w:line="312"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磋商过程独立、保密。供应商非法干预磋商过程的，其响应文件作无效处理。</w:t>
      </w:r>
    </w:p>
    <w:p w14:paraId="00A3C03E">
      <w:pPr>
        <w:pStyle w:val="3"/>
        <w:keepNext w:val="0"/>
        <w:keepLines w:val="0"/>
        <w:snapToGrid w:val="0"/>
        <w:spacing w:before="0" w:after="0" w:line="312"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2.磋商程序</w:t>
      </w:r>
    </w:p>
    <w:p w14:paraId="0952AC5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2.1审查磋商文件和停止评审。</w:t>
      </w:r>
    </w:p>
    <w:p w14:paraId="361C224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14:paraId="30C3D6E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2.1.2 本磋商文件有下列情形之一的，磋商小组应当停止评审：</w:t>
      </w:r>
    </w:p>
    <w:p w14:paraId="7DFC4D21">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（1）磋商文件的规定存在歧义、重大缺陷的；</w:t>
      </w:r>
    </w:p>
    <w:p w14:paraId="31C687F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（2）磋商文件明显以不合理条件对供应商实行差别待遇或者歧视待遇的；</w:t>
      </w:r>
    </w:p>
    <w:p w14:paraId="4B8235A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（3）采购项目属于国家规定的优先、强制采购范围，但是磋商文件未依法体现优先、强制采购相关规定的；</w:t>
      </w:r>
    </w:p>
    <w:p w14:paraId="635EE5B9">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（4）磋商文件将供应商的资格条件列为评分因素的；</w:t>
      </w:r>
    </w:p>
    <w:p w14:paraId="7E9B387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（5）磋商文件载明的成交原则不合法的；</w:t>
      </w:r>
    </w:p>
    <w:p w14:paraId="3A82E5D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（6）磋商文件有违反国家其他有关强制性规定的情形。</w:t>
      </w:r>
    </w:p>
    <w:p w14:paraId="4B6235E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2.1.3 出现本条2.1.2规定应当停止评审情形的，磋商小组应当向采购人书面说明情况。除本条规定的情形外，磋商小组不得以任何方式和理由停止评审。</w:t>
      </w:r>
    </w:p>
    <w:p w14:paraId="364A515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2.2资格性审查。</w:t>
      </w:r>
    </w:p>
    <w:p w14:paraId="729A7CE4">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2.2.1本项目需要磋商小组进行资格性检查。</w:t>
      </w:r>
    </w:p>
    <w:p w14:paraId="38D965A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p>
    <w:p w14:paraId="6CFC3DD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2.2.2资格性审查结束后，磋商小组应当出具资格审查报告，没有通过资格审查的供应商，磋商小组应当在资格审查报告中说明原因。</w:t>
      </w:r>
    </w:p>
    <w:p w14:paraId="02D97546">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2.2.3磋商小组应依据磋商文件规定的实质性要求，对符合资格的响应文件进行有效性、完整性和响应程度审查，以确定参加磋商的供应商名单。</w:t>
      </w:r>
    </w:p>
    <w:p w14:paraId="5D8BE41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2.2.4采购人宣布未通过资格审查的供应商名单时，应当告知供应商未通过审查的原因。</w:t>
      </w:r>
    </w:p>
    <w:p w14:paraId="56A37643">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通过资格性审查的供应商不足3家的（</w:t>
      </w:r>
      <w:r>
        <w:rPr>
          <w:rFonts w:hint="eastAsia" w:ascii="仿宋" w:hAnsi="仿宋" w:eastAsia="仿宋" w:cs="仿宋"/>
          <w:color w:val="auto"/>
          <w:sz w:val="24"/>
          <w:highlight w:val="none"/>
        </w:rPr>
        <w:t>本章2.7.2第二款情况除外）</w:t>
      </w:r>
      <w:r>
        <w:rPr>
          <w:rFonts w:hint="eastAsia" w:ascii="仿宋" w:hAnsi="仿宋" w:eastAsia="仿宋" w:cs="仿宋"/>
          <w:color w:val="auto"/>
          <w:sz w:val="24"/>
          <w:szCs w:val="24"/>
          <w:highlight w:val="none"/>
        </w:rPr>
        <w:t>，终止本次采购活动，并发布终止采购活动公告。</w:t>
      </w:r>
    </w:p>
    <w:p w14:paraId="06AAECD5">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2.4</w:t>
      </w:r>
      <w:r>
        <w:rPr>
          <w:rFonts w:ascii="仿宋" w:hAnsi="仿宋" w:eastAsia="仿宋" w:cs="仿宋"/>
          <w:color w:val="auto"/>
          <w:sz w:val="24"/>
          <w:szCs w:val="24"/>
          <w:highlight w:val="none"/>
          <w:lang w:val="zh-CN"/>
        </w:rPr>
        <w:t>有效性、完整性和响应程度审查</w:t>
      </w:r>
    </w:p>
    <w:p w14:paraId="0D6C63E9">
      <w:pPr>
        <w:pStyle w:val="9"/>
        <w:snapToGrid w:val="0"/>
        <w:spacing w:line="312" w:lineRule="auto"/>
        <w:ind w:firstLine="482" w:firstLineChars="20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2.4.1磋商过程中，</w:t>
      </w:r>
      <w:r>
        <w:rPr>
          <w:rFonts w:ascii="仿宋" w:hAnsi="仿宋" w:eastAsia="仿宋" w:cs="仿宋"/>
          <w:b/>
          <w:bCs/>
          <w:color w:val="auto"/>
          <w:sz w:val="24"/>
          <w:szCs w:val="24"/>
          <w:highlight w:val="none"/>
          <w:lang w:val="zh-CN"/>
        </w:rPr>
        <w:t>磋商小组对供应商首次递交的响应文件进行审查，审查中发现供应商响应文件有下列情况之一的，应按照无效响应文件处理：</w:t>
      </w:r>
    </w:p>
    <w:p w14:paraId="033F0C61">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（1）响应文件正、副本数量不足的；</w:t>
      </w:r>
    </w:p>
    <w:p w14:paraId="64FED2C0">
      <w:pPr>
        <w:pStyle w:val="9"/>
        <w:snapToGrid w:val="0"/>
        <w:spacing w:line="312" w:lineRule="auto"/>
        <w:ind w:left="479" w:leftChars="228"/>
        <w:rPr>
          <w:rFonts w:ascii="仿宋" w:hAnsi="仿宋" w:eastAsia="仿宋" w:cs="仿宋"/>
          <w:color w:val="auto"/>
          <w:sz w:val="24"/>
          <w:highlight w:val="none"/>
        </w:rPr>
      </w:pPr>
      <w:r>
        <w:rPr>
          <w:rFonts w:ascii="仿宋" w:hAnsi="仿宋" w:eastAsia="仿宋" w:cs="仿宋"/>
          <w:color w:val="auto"/>
          <w:sz w:val="24"/>
          <w:szCs w:val="24"/>
          <w:highlight w:val="none"/>
        </w:rPr>
        <w:t>（2）</w:t>
      </w:r>
      <w:r>
        <w:rPr>
          <w:rFonts w:ascii="仿宋" w:hAnsi="仿宋" w:eastAsia="仿宋" w:cs="仿宋"/>
          <w:color w:val="auto"/>
          <w:sz w:val="24"/>
          <w:highlight w:val="none"/>
        </w:rPr>
        <w:t>响应文件未按磋商文件要求签署、盖章的（除2.4.2的情形外）；</w:t>
      </w:r>
    </w:p>
    <w:p w14:paraId="0DB653CD">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3</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响应</w:t>
      </w:r>
      <w:r>
        <w:rPr>
          <w:rFonts w:ascii="仿宋" w:hAnsi="仿宋" w:eastAsia="仿宋" w:cs="仿宋"/>
          <w:color w:val="auto"/>
          <w:sz w:val="24"/>
          <w:szCs w:val="24"/>
          <w:highlight w:val="none"/>
          <w:lang w:val="zh-CN"/>
        </w:rPr>
        <w:t>文件的格式</w:t>
      </w:r>
      <w:r>
        <w:rPr>
          <w:rFonts w:ascii="仿宋" w:hAnsi="仿宋" w:eastAsia="仿宋" w:cs="仿宋"/>
          <w:color w:val="auto"/>
          <w:sz w:val="24"/>
          <w:highlight w:val="none"/>
        </w:rPr>
        <w:t>（采购文件明确规定为实质性要求的）</w:t>
      </w:r>
      <w:r>
        <w:rPr>
          <w:rFonts w:ascii="仿宋" w:hAnsi="仿宋" w:eastAsia="仿宋" w:cs="仿宋"/>
          <w:color w:val="auto"/>
          <w:sz w:val="24"/>
          <w:szCs w:val="24"/>
          <w:highlight w:val="none"/>
          <w:lang w:val="zh-CN"/>
        </w:rPr>
        <w:t>、语言、计量单位、报价货币、响应文件有效期等不符合</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文件的规定，影响磋商小组评判的；</w:t>
      </w:r>
    </w:p>
    <w:p w14:paraId="3548206E">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4</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文件有明确要求，但</w:t>
      </w:r>
      <w:r>
        <w:rPr>
          <w:rFonts w:ascii="仿宋" w:hAnsi="仿宋" w:eastAsia="仿宋" w:cs="仿宋"/>
          <w:color w:val="auto"/>
          <w:sz w:val="24"/>
          <w:szCs w:val="24"/>
          <w:highlight w:val="none"/>
        </w:rPr>
        <w:t>响应</w:t>
      </w:r>
      <w:r>
        <w:rPr>
          <w:rFonts w:ascii="仿宋" w:hAnsi="仿宋" w:eastAsia="仿宋" w:cs="仿宋"/>
          <w:color w:val="auto"/>
          <w:sz w:val="24"/>
          <w:szCs w:val="24"/>
          <w:highlight w:val="none"/>
          <w:lang w:val="zh-CN"/>
        </w:rPr>
        <w:t>文件未载明或者载明的采购项目履约时间、方式、数量与</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文件要求不一致的；</w:t>
      </w:r>
    </w:p>
    <w:p w14:paraId="6F73CA5F">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ascii="仿宋" w:hAnsi="仿宋" w:eastAsia="仿宋" w:cs="仿宋"/>
          <w:color w:val="auto"/>
          <w:sz w:val="24"/>
          <w:highlight w:val="none"/>
        </w:rPr>
        <w:t>其他不满足采购文件规定的实质性要求的；</w:t>
      </w:r>
    </w:p>
    <w:p w14:paraId="76111866">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（6）响应文件含有采购人不能接受的附加条件的; </w:t>
      </w:r>
    </w:p>
    <w:p w14:paraId="01EA5D70">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（7）法律、法规和磋商文件中规定的其他无效情形。</w:t>
      </w:r>
    </w:p>
    <w:p w14:paraId="66B546B8">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2.</w:t>
      </w:r>
      <w:r>
        <w:rPr>
          <w:rFonts w:ascii="仿宋" w:hAnsi="仿宋" w:eastAsia="仿宋" w:cs="仿宋"/>
          <w:color w:val="auto"/>
          <w:sz w:val="24"/>
          <w:szCs w:val="24"/>
          <w:highlight w:val="none"/>
        </w:rPr>
        <w:t>4</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磋商小组对响应文件签署、盖章等进行审查过程中，有下列情形的，磋商小组应当评定为不影响整个响应文件有效性和采购活动公平竞争，并通过响应文件的有效性审查：</w:t>
      </w:r>
    </w:p>
    <w:p w14:paraId="62F15F8E">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1</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除</w:t>
      </w:r>
      <w:r>
        <w:rPr>
          <w:rFonts w:ascii="仿宋" w:hAnsi="仿宋" w:eastAsia="仿宋" w:cs="仿宋"/>
          <w:color w:val="auto"/>
          <w:sz w:val="24"/>
          <w:szCs w:val="24"/>
          <w:highlight w:val="none"/>
          <w:lang w:val="zh-CN"/>
        </w:rPr>
        <w:t>法定代表人/单位负责人授权书外，响应文件存在个别地方（总数不能超过2个）没有法定代表人/单位负责人签字，但有法定代表人/单位负责人的私人印章或者有效授权代理人签字的；</w:t>
      </w:r>
    </w:p>
    <w:p w14:paraId="48115B9C">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）响应文件除采购文件明确要求加盖单位（法人）公章的以外，其他地方以相关专用章加盖的；</w:t>
      </w:r>
    </w:p>
    <w:p w14:paraId="30C29483">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3</w:t>
      </w:r>
      <w:r>
        <w:rPr>
          <w:rFonts w:ascii="仿宋" w:hAnsi="仿宋" w:eastAsia="仿宋" w:cs="仿宋"/>
          <w:color w:val="auto"/>
          <w:sz w:val="24"/>
          <w:szCs w:val="24"/>
          <w:highlight w:val="none"/>
          <w:lang w:val="zh-CN"/>
        </w:rPr>
        <w:t>）</w:t>
      </w:r>
      <w:r>
        <w:rPr>
          <w:rFonts w:ascii="仿宋" w:hAnsi="仿宋" w:eastAsia="仿宋" w:cs="仿宋"/>
          <w:color w:val="auto"/>
          <w:sz w:val="24"/>
          <w:highlight w:val="none"/>
        </w:rPr>
        <w:t>除采购文件明确要求加盖单位（法人）公章的以外，</w:t>
      </w:r>
      <w:r>
        <w:rPr>
          <w:rFonts w:ascii="仿宋" w:hAnsi="仿宋" w:eastAsia="仿宋" w:cs="仿宋"/>
          <w:color w:val="auto"/>
          <w:sz w:val="24"/>
          <w:szCs w:val="24"/>
          <w:highlight w:val="none"/>
          <w:lang w:val="zh-CN"/>
        </w:rPr>
        <w:t>以骑缝章的形式代替响应文件内容逐页盖章的（但是骑缝章模糊不清，印章名称无法辨认的除外）；</w:t>
      </w:r>
    </w:p>
    <w:p w14:paraId="24A9AD1F">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（4）其他不影响采购项目实质性要求的情形。</w:t>
      </w:r>
    </w:p>
    <w:p w14:paraId="6930B716">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2.4.3磋商小组</w:t>
      </w:r>
      <w:r>
        <w:rPr>
          <w:rFonts w:ascii="仿宋" w:hAnsi="仿宋" w:eastAsia="仿宋" w:cs="仿宋"/>
          <w:color w:val="auto"/>
          <w:sz w:val="24"/>
          <w:szCs w:val="24"/>
          <w:highlight w:val="none"/>
          <w:lang w:val="zh-CN"/>
        </w:rPr>
        <w:t>对所有响应文件的有效性、完整性和响应程度进行审查</w:t>
      </w:r>
      <w:r>
        <w:rPr>
          <w:rFonts w:ascii="仿宋" w:hAnsi="仿宋" w:eastAsia="仿宋" w:cs="仿宋"/>
          <w:color w:val="auto"/>
          <w:sz w:val="24"/>
          <w:szCs w:val="24"/>
          <w:highlight w:val="none"/>
        </w:rPr>
        <w:t>后，向采购</w:t>
      </w:r>
      <w:r>
        <w:rPr>
          <w:rFonts w:ascii="仿宋" w:hAnsi="仿宋" w:eastAsia="仿宋" w:cs="仿宋"/>
          <w:color w:val="auto"/>
          <w:sz w:val="24"/>
          <w:szCs w:val="24"/>
          <w:highlight w:val="none"/>
          <w:lang w:val="zh-CN"/>
        </w:rPr>
        <w:t>代理机构</w:t>
      </w:r>
      <w:r>
        <w:rPr>
          <w:rFonts w:ascii="仿宋" w:hAnsi="仿宋" w:eastAsia="仿宋" w:cs="仿宋"/>
          <w:color w:val="auto"/>
          <w:sz w:val="24"/>
          <w:szCs w:val="24"/>
          <w:highlight w:val="none"/>
        </w:rPr>
        <w:t>出具</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审查报告，确定继续磋商的供应商名单。没有通过</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审查的供应商，磋商小组应在</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审查报告中说明原因。</w:t>
      </w:r>
    </w:p>
    <w:p w14:paraId="02BD38E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2.5供应商澄清、说明</w:t>
      </w:r>
    </w:p>
    <w:p w14:paraId="56F37F3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BA44B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2.5.2磋商小组要求供应商澄清、说明或者更正响应文件应当以书面形式作出。供应商的澄清、说明或者更正应当由法定代表人/单位负责人/本人或其授权代表签字或者加盖公章。</w:t>
      </w:r>
    </w:p>
    <w:p w14:paraId="330AEDF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2.6磋商。</w:t>
      </w:r>
    </w:p>
    <w:p w14:paraId="3CE6393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2.6.1磋商小组所有成员集中与单一供应商分别进行一轮或多轮磋商，并给予所有参加磋商的供应商平等的磋商机会。磋商顺序以现场抽签的方式确定。磋商过程中，磋商小组可以根据磋商情况调整磋商轮次。</w:t>
      </w:r>
    </w:p>
    <w:p w14:paraId="554B934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2.6.2每轮磋商开始前，磋商小组应根据磋商文件的规定，并结合各供应商的响应文件拟定磋商内容。</w:t>
      </w:r>
    </w:p>
    <w:p w14:paraId="1C88CC5E">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2.6.3在磋商过程中，磋商小组可以根据磋商文件和磋商情况实质性变动磋商文件的技术、服务要求以及合同草案条款，但不得变动磋商文件中的其他内容。实质性变动的内容，须经采购人代表书面确认。</w:t>
      </w:r>
    </w:p>
    <w:p w14:paraId="2662C125">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2.6.4对磋商文件作出的实质性变动是磋商文件的有效组成部分，磋商小组应当及时以书面形式同时通知所有参加磋商的供应商。</w:t>
      </w:r>
    </w:p>
    <w:p w14:paraId="283FCEE1">
      <w:pPr>
        <w:snapToGrid w:val="0"/>
        <w:spacing w:line="312" w:lineRule="auto"/>
        <w:ind w:firstLine="470" w:firstLineChars="196"/>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2.6.5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r>
        <w:rPr>
          <w:rFonts w:hint="eastAsia" w:ascii="仿宋" w:hAnsi="仿宋" w:eastAsia="仿宋" w:cs="仿宋"/>
          <w:b/>
          <w:bCs/>
          <w:color w:val="auto"/>
          <w:sz w:val="24"/>
          <w:szCs w:val="24"/>
          <w:highlight w:val="none"/>
        </w:rPr>
        <w:t>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1BBA70AD">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2.6.6磋商过程中，磋商的任何一方不得透露与磋商有关的其他供应商的技术资料、价格和其他信息。</w:t>
      </w:r>
    </w:p>
    <w:p w14:paraId="7544DF27">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2.6.7</w:t>
      </w:r>
      <w:r>
        <w:rPr>
          <w:rFonts w:hint="eastAsia" w:ascii="仿宋" w:hAnsi="仿宋" w:eastAsia="仿宋" w:cs="仿宋"/>
          <w:b/>
          <w:bCs/>
          <w:color w:val="auto"/>
          <w:sz w:val="24"/>
          <w:szCs w:val="24"/>
          <w:highlight w:val="none"/>
        </w:rPr>
        <w:t>磋商过程中，磋商小组发现或者知晓供应商存在违法、违纪行为的，且该违法、违纪行为属于相关政府采购制度或本磋商文件规定的响应文件无效处理情形的</w:t>
      </w:r>
      <w:r>
        <w:rPr>
          <w:rFonts w:hint="eastAsia" w:ascii="仿宋" w:hAnsi="仿宋" w:eastAsia="仿宋" w:cs="仿宋"/>
          <w:color w:val="auto"/>
          <w:sz w:val="24"/>
          <w:szCs w:val="24"/>
          <w:highlight w:val="none"/>
        </w:rPr>
        <w:t>，磋商小组应当将该供应商响应文件作无效处理，不允许其提交最后报价。</w:t>
      </w:r>
    </w:p>
    <w:p w14:paraId="0D48641A">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2.6.8磋商完成后，磋商小组应出具磋商情况记录表，磋商情况记录表需包含磋商内容、磋商意见、实质性变动内容等。</w:t>
      </w:r>
    </w:p>
    <w:p w14:paraId="071CEE6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2.7最后报价。</w:t>
      </w:r>
    </w:p>
    <w:p w14:paraId="685B30C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磋商结束后，磋商小组应当要求所有实质性响应的供应商在规定时间内提交最后报价。供应商进行最后报价，应当在磋商室外填写报价单，密封递交采购代理机构工作人员，由采购代理机构工作人员收齐后统一递交磋商小组。采购代理机构工作人员不能拆封供应商报价单。</w:t>
      </w:r>
    </w:p>
    <w:p w14:paraId="304E6BEA">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08DC327B">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2.7.2参与最后报价的供应商按磋商小组要求进行报价。最后报价超过磋商文件规定的采购预算（或最高限价）或者未按照磋商文件要求进行报价的，应按照无效响应文件处理。</w:t>
      </w:r>
    </w:p>
    <w:p w14:paraId="3E435410">
      <w:pPr>
        <w:snapToGrid w:val="0"/>
        <w:spacing w:line="312"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2.7.3供应商最后报价</w:t>
      </w:r>
      <w:r>
        <w:rPr>
          <w:rFonts w:hint="eastAsia" w:ascii="仿宋" w:hAnsi="仿宋" w:eastAsia="仿宋" w:cs="仿宋"/>
          <w:color w:val="auto"/>
          <w:kern w:val="0"/>
          <w:sz w:val="24"/>
          <w:highlight w:val="none"/>
        </w:rPr>
        <w:t>出现下列情况的，按照以下原则进行澄清、说明或者更正处理：</w:t>
      </w:r>
    </w:p>
    <w:p w14:paraId="1BDC79AA">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（1）大写金额和小写金额不一致的，以大写金额为准；</w:t>
      </w:r>
    </w:p>
    <w:p w14:paraId="3B1AFFB0">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（2）单价金额小数点或者百分比有明显错位的，以最后报价的总价为准，并修改单价；</w:t>
      </w:r>
    </w:p>
    <w:p w14:paraId="6403D78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（3）总价金额与按单价汇总金额不一致的，以单价金额计算结果为准。</w:t>
      </w:r>
    </w:p>
    <w:p w14:paraId="22DD1AEC">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t>同时出现两种以上不一致的，按照前款规定的顺序修正。</w:t>
      </w:r>
      <w:r>
        <w:rPr>
          <w:rFonts w:hint="eastAsia" w:ascii="仿宋" w:hAnsi="仿宋" w:eastAsia="仿宋" w:cs="仿宋"/>
          <w:b/>
          <w:bCs/>
          <w:color w:val="auto"/>
          <w:sz w:val="24"/>
          <w:highlight w:val="none"/>
        </w:rPr>
        <w:t>修正后的报价经供应商确认后产生约束力，供应商不确认的，其响应文件作为无效处理。</w:t>
      </w:r>
    </w:p>
    <w:p w14:paraId="13979A91">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2.7.4供应商最后报价应当由法定代表人/单位负责人/本人或其授权代表签字确认或加盖公章，否则无效。</w:t>
      </w:r>
      <w:r>
        <w:rPr>
          <w:rFonts w:hint="eastAsia" w:ascii="仿宋" w:hAnsi="仿宋" w:eastAsia="仿宋" w:cs="仿宋"/>
          <w:color w:val="auto"/>
          <w:sz w:val="24"/>
          <w:highlight w:val="none"/>
        </w:rPr>
        <w:t>最后报价是供应商响应文件的有效组成部分。</w:t>
      </w:r>
    </w:p>
    <w:p w14:paraId="1F13DDC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2.8比较与评价。由磋商小组采用综合评分法对提交最后报价的供应商的响应文件和最后报价进行综合评分，具体要求详见本章综合评分部分。</w:t>
      </w:r>
    </w:p>
    <w:p w14:paraId="559BEE03">
      <w:pPr>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2.9</w:t>
      </w:r>
      <w:r>
        <w:rPr>
          <w:rFonts w:hint="eastAsia" w:ascii="仿宋" w:hAnsi="仿宋" w:eastAsia="仿宋" w:cs="仿宋"/>
          <w:color w:val="auto"/>
          <w:sz w:val="24"/>
          <w:szCs w:val="24"/>
          <w:highlight w:val="none"/>
        </w:rPr>
        <w:t>推荐成交候选供应商。磋商小组应当根据综合评分情况，按照评审得分由高到低顺序推荐3家以上（</w:t>
      </w:r>
      <w:r>
        <w:rPr>
          <w:rFonts w:hint="eastAsia" w:ascii="仿宋" w:hAnsi="仿宋" w:eastAsia="仿宋" w:cs="仿宋"/>
          <w:color w:val="auto"/>
          <w:sz w:val="24"/>
          <w:highlight w:val="none"/>
        </w:rPr>
        <w:t>本章2.7.2第二款情况除外）</w:t>
      </w:r>
      <w:r>
        <w:rPr>
          <w:rFonts w:hint="eastAsia" w:ascii="仿宋" w:hAnsi="仿宋" w:eastAsia="仿宋" w:cs="仿宋"/>
          <w:color w:val="auto"/>
          <w:sz w:val="24"/>
          <w:szCs w:val="24"/>
          <w:highlight w:val="none"/>
        </w:rPr>
        <w:t>成交候选供应商，并编写磋商报告。评审得分相同的，按照技术指标优劣（得分高低）顺序推荐。评审得分且技术指标得分均相同的，成交候选供应商并列，由采购人随机抽签确定成交供应商。</w:t>
      </w:r>
    </w:p>
    <w:p w14:paraId="0419652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2.10磋商小组复核。磋商小组评分汇总结束后，磋商小组应当进行评审复核，对拟推荐为成交候选供应商的、报价最低的、供应商资格审查未通过的、供应商响应文件作无效处理的重点复核。</w:t>
      </w:r>
    </w:p>
    <w:p w14:paraId="742A8DF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2.11采购组织单位现场复核评审结果。</w:t>
      </w:r>
    </w:p>
    <w:p w14:paraId="62A06F5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6DE3C73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（1）资格性审查认定错误的；</w:t>
      </w:r>
    </w:p>
    <w:p w14:paraId="248DE10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（2）分值汇总计算错误的；</w:t>
      </w:r>
    </w:p>
    <w:p w14:paraId="57CFBCA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（3）分项评分超出评分标准范围的；</w:t>
      </w:r>
    </w:p>
    <w:p w14:paraId="4B0E781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（4）客观评分不一致的。</w:t>
      </w:r>
    </w:p>
    <w:p w14:paraId="534DE50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应当书面报告采购项目同级财政部门。</w:t>
      </w:r>
    </w:p>
    <w:p w14:paraId="6ACE9A3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采购代理机构复核过程中，磋商小组成员不得离开评审现场。</w:t>
      </w:r>
    </w:p>
    <w:p w14:paraId="3A11FE4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2.11.2有下列情形之一的，不得现场修改评审结果：</w:t>
      </w:r>
    </w:p>
    <w:p w14:paraId="3E7E7C0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（1）磋商小组已经出具磋商报告并且离开评审现场的；</w:t>
      </w:r>
    </w:p>
    <w:p w14:paraId="0A47485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（2）采购代理机构现场复核时，复核工作人员数量不足的；</w:t>
      </w:r>
    </w:p>
    <w:p w14:paraId="36D03A9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（3）采购代理机构现场复核时，没有采购监督人员现场监督的；</w:t>
      </w:r>
    </w:p>
    <w:p w14:paraId="16E0E6C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（4）采购代理机构现场复核内容超出规定范围的；</w:t>
      </w:r>
    </w:p>
    <w:p w14:paraId="2A2992B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（5）采购代理机构未提供书面建议的。</w:t>
      </w:r>
    </w:p>
    <w:p w14:paraId="692A9FA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2.12编写磋商报告。磋商小组推荐成交候选供应商后，应向采购代理机构出具磋商报告。磋商报告应当包括以下主要内容：</w:t>
      </w:r>
    </w:p>
    <w:p w14:paraId="6869D5A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（1）邀请供应商参加采购活动的具体方式和相关情况；</w:t>
      </w:r>
    </w:p>
    <w:p w14:paraId="3D074CC3">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（2）响应文件开启日期和地点；</w:t>
      </w:r>
    </w:p>
    <w:p w14:paraId="3B88F0F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（3）获取磋商文件的供应商名单和磋商小组成员名单；</w:t>
      </w:r>
    </w:p>
    <w:p w14:paraId="3F38EDC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（4）评审情况记录和说明，包括对供应商的资格审查情况、供应商响应文件审查情况、磋商情况、报价情况等；</w:t>
      </w:r>
    </w:p>
    <w:p w14:paraId="363AA6C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（5）提出的成交候选供应商的排序名单及理由。</w:t>
      </w:r>
    </w:p>
    <w:p w14:paraId="3838655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4609287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420188F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2.14终止磋商采购活动。</w:t>
      </w:r>
    </w:p>
    <w:p w14:paraId="71792AB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出现下列情形之一的，采购人应当终止竞争性磋商采购活动，发布项目终止公告并说明原因，重新开展采购活动：</w:t>
      </w:r>
    </w:p>
    <w:p w14:paraId="465F8C2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（1）因情况变化，不再符合规定的竞争性磋商采购方式适用情形的；</w:t>
      </w:r>
    </w:p>
    <w:p w14:paraId="604F8F8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（2）出现影响采购公正的违法、违规行为的；</w:t>
      </w:r>
    </w:p>
    <w:p w14:paraId="6B69329D">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（3）除本章2.7.2的情况外，在采购过程中符合要求的供应商或者报价未超过采购预算的供应商不足3家的。</w:t>
      </w:r>
    </w:p>
    <w:bookmarkEnd w:id="183"/>
    <w:bookmarkEnd w:id="184"/>
    <w:bookmarkEnd w:id="185"/>
    <w:bookmarkEnd w:id="186"/>
    <w:p w14:paraId="485157CF">
      <w:pPr>
        <w:pStyle w:val="3"/>
        <w:keepLines w:val="0"/>
        <w:snapToGrid w:val="0"/>
        <w:spacing w:before="0" w:after="0" w:line="312" w:lineRule="auto"/>
        <w:ind w:firstLine="482" w:firstLineChars="200"/>
        <w:rPr>
          <w:rFonts w:hint="eastAsia" w:ascii="仿宋" w:hAnsi="仿宋" w:eastAsia="仿宋" w:cs="仿宋"/>
          <w:bCs w:val="0"/>
          <w:color w:val="auto"/>
          <w:sz w:val="24"/>
          <w:highlight w:val="none"/>
        </w:rPr>
      </w:pPr>
      <w:r>
        <w:rPr>
          <w:rFonts w:hint="eastAsia" w:ascii="仿宋" w:hAnsi="仿宋" w:eastAsia="仿宋" w:cs="仿宋"/>
          <w:bCs w:val="0"/>
          <w:color w:val="auto"/>
          <w:sz w:val="24"/>
          <w:highlight w:val="none"/>
        </w:rPr>
        <w:t>4.磋商纪律及注意事项</w:t>
      </w:r>
    </w:p>
    <w:p w14:paraId="7A4EFA7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4.1磋商小组内部讨论的情况和意见必须保密，任何人不得以任何形式透露给供应商或与供应商有关的单位或个人。</w:t>
      </w:r>
    </w:p>
    <w:p w14:paraId="3F6BBF92">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4.2在磋商过程中，供应商不得以任何形式对磋商小组成员进行旨在影响磋商结果的私下接触，否则将取消其参与磋商的资格。</w:t>
      </w:r>
    </w:p>
    <w:p w14:paraId="6864B5C6">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4.3对各供应商的商业秘密，磋商小组成员应予以保密，不得泄露给其他供应商。</w:t>
      </w:r>
    </w:p>
    <w:p w14:paraId="2D53FAF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 磋商小组独立评判，推荐成交候选人，并写出书面报告。</w:t>
      </w:r>
    </w:p>
    <w:p w14:paraId="04CA95B6">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磋商小组可根据需要对供应商进行实地考察。</w:t>
      </w:r>
    </w:p>
    <w:p w14:paraId="5506DD2F">
      <w:pPr>
        <w:pStyle w:val="3"/>
        <w:keepLines w:val="0"/>
        <w:snapToGrid w:val="0"/>
        <w:spacing w:before="0" w:after="0" w:line="312" w:lineRule="auto"/>
        <w:ind w:firstLine="482" w:firstLineChars="200"/>
        <w:rPr>
          <w:rFonts w:hint="eastAsia" w:ascii="仿宋" w:hAnsi="仿宋" w:eastAsia="仿宋" w:cs="仿宋"/>
          <w:bCs w:val="0"/>
          <w:color w:val="auto"/>
          <w:sz w:val="24"/>
          <w:highlight w:val="none"/>
        </w:rPr>
      </w:pPr>
      <w:r>
        <w:rPr>
          <w:rFonts w:hint="eastAsia" w:ascii="仿宋" w:hAnsi="仿宋" w:eastAsia="仿宋" w:cs="仿宋"/>
          <w:bCs w:val="0"/>
          <w:color w:val="auto"/>
          <w:sz w:val="24"/>
          <w:highlight w:val="none"/>
        </w:rPr>
        <w:t>3.综合评分</w:t>
      </w:r>
    </w:p>
    <w:p w14:paraId="1C075A34">
      <w:pPr>
        <w:snapToGrid w:val="0"/>
        <w:spacing w:line="312" w:lineRule="auto"/>
        <w:ind w:firstLine="511" w:firstLineChars="21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3.1本次综合评分的因素：详见综合评分明细表。</w:t>
      </w:r>
    </w:p>
    <w:p w14:paraId="29E9BA2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除价格因素外，磋商小组成员应当根据自身专业情况独立对每个有效供应商的响应文件进行评价、打分，汇总每项评分因素的得分，得出每个有效供应商的总分。</w:t>
      </w:r>
    </w:p>
    <w:p w14:paraId="2F1CBBE1">
      <w:pPr>
        <w:pStyle w:val="8"/>
        <w:tabs>
          <w:tab w:val="left" w:pos="6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3.3综合评分明细表</w:t>
      </w:r>
    </w:p>
    <w:p w14:paraId="7D85E8B5">
      <w:pPr>
        <w:pStyle w:val="8"/>
        <w:tabs>
          <w:tab w:val="left" w:pos="6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3.3.1综合评分明细表的制定以科学合理、降低评委会自由裁量权为原则。</w:t>
      </w:r>
    </w:p>
    <w:p w14:paraId="47C33A2F">
      <w:pPr>
        <w:snapToGrid w:val="0"/>
        <w:spacing w:line="312"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3.3.2综合评分明细表</w:t>
      </w:r>
    </w:p>
    <w:p w14:paraId="7ABF43E2">
      <w:pPr>
        <w:pStyle w:val="19"/>
        <w:rPr>
          <w:rFonts w:hint="default" w:eastAsia="仿宋"/>
          <w:lang w:val="en-US" w:eastAsia="zh-CN"/>
        </w:rPr>
      </w:pPr>
      <w:r>
        <w:rPr>
          <w:rFonts w:hint="eastAsia" w:ascii="仿宋" w:hAnsi="仿宋" w:eastAsia="仿宋" w:cs="仿宋"/>
          <w:b/>
          <w:color w:val="auto"/>
          <w:sz w:val="24"/>
          <w:szCs w:val="24"/>
          <w:highlight w:val="none"/>
          <w:lang w:eastAsia="zh-CN"/>
        </w:rPr>
        <w:t>包</w:t>
      </w:r>
      <w:r>
        <w:rPr>
          <w:rFonts w:hint="eastAsia" w:ascii="仿宋" w:hAnsi="仿宋" w:eastAsia="仿宋" w:cs="仿宋"/>
          <w:b/>
          <w:color w:val="auto"/>
          <w:sz w:val="24"/>
          <w:szCs w:val="24"/>
          <w:highlight w:val="none"/>
          <w:lang w:val="en-US" w:eastAsia="zh-CN"/>
        </w:rPr>
        <w:t>1：</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305"/>
        <w:gridCol w:w="735"/>
        <w:gridCol w:w="5737"/>
        <w:gridCol w:w="890"/>
      </w:tblGrid>
      <w:tr w14:paraId="0967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32C89733">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05" w:type="dxa"/>
            <w:noWrap w:val="0"/>
            <w:vAlign w:val="center"/>
          </w:tcPr>
          <w:p w14:paraId="1416BDF2">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评分因素及权重</w:t>
            </w:r>
          </w:p>
        </w:tc>
        <w:tc>
          <w:tcPr>
            <w:tcW w:w="735" w:type="dxa"/>
            <w:noWrap w:val="0"/>
            <w:vAlign w:val="center"/>
          </w:tcPr>
          <w:p w14:paraId="38713A28">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5737" w:type="dxa"/>
            <w:noWrap w:val="0"/>
            <w:vAlign w:val="center"/>
          </w:tcPr>
          <w:p w14:paraId="2A032591">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890" w:type="dxa"/>
            <w:noWrap w:val="0"/>
            <w:vAlign w:val="center"/>
          </w:tcPr>
          <w:p w14:paraId="28EF9801">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408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77" w:type="dxa"/>
            <w:noWrap w:val="0"/>
            <w:vAlign w:val="center"/>
          </w:tcPr>
          <w:p w14:paraId="3636B325">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05" w:type="dxa"/>
            <w:noWrap w:val="0"/>
            <w:vAlign w:val="center"/>
          </w:tcPr>
          <w:p w14:paraId="399BE022">
            <w:pPr>
              <w:wordWrap w:val="0"/>
              <w:spacing w:line="312" w:lineRule="auto"/>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w:t>
            </w:r>
          </w:p>
        </w:tc>
        <w:tc>
          <w:tcPr>
            <w:tcW w:w="735" w:type="dxa"/>
            <w:noWrap w:val="0"/>
            <w:vAlign w:val="center"/>
          </w:tcPr>
          <w:p w14:paraId="305D0AED">
            <w:pPr>
              <w:spacing w:line="312"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30分</w:t>
            </w:r>
          </w:p>
        </w:tc>
        <w:tc>
          <w:tcPr>
            <w:tcW w:w="5737" w:type="dxa"/>
            <w:noWrap w:val="0"/>
            <w:vAlign w:val="center"/>
          </w:tcPr>
          <w:p w14:paraId="659EB9B6">
            <w:pPr>
              <w:widowControl/>
              <w:snapToGrid w:val="0"/>
              <w:spacing w:line="312" w:lineRule="auto"/>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0"/>
                <w:sz w:val="24"/>
                <w:highlight w:val="none"/>
              </w:rPr>
              <w:t>以本次有效的最低报价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单价合计金额</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为基准价，其价格分为满分。其他</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的价格分统一按照下列公式计算：投标报价得分=(基准价/</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报价）×100×</w:t>
            </w: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w:t>
            </w:r>
          </w:p>
        </w:tc>
        <w:tc>
          <w:tcPr>
            <w:tcW w:w="890" w:type="dxa"/>
            <w:noWrap w:val="0"/>
            <w:vAlign w:val="center"/>
          </w:tcPr>
          <w:p w14:paraId="56022E1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60A3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356E2AD5">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305" w:type="dxa"/>
            <w:noWrap w:val="0"/>
            <w:vAlign w:val="center"/>
          </w:tcPr>
          <w:p w14:paraId="500B8FCD">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服务</w:t>
            </w:r>
            <w:r>
              <w:rPr>
                <w:rFonts w:hint="eastAsia" w:ascii="仿宋" w:hAnsi="仿宋" w:eastAsia="仿宋" w:cs="仿宋"/>
                <w:bCs/>
                <w:color w:val="auto"/>
                <w:sz w:val="24"/>
                <w:szCs w:val="24"/>
                <w:highlight w:val="none"/>
              </w:rPr>
              <w:t>方案</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w:t>
            </w:r>
          </w:p>
        </w:tc>
        <w:tc>
          <w:tcPr>
            <w:tcW w:w="735" w:type="dxa"/>
            <w:noWrap w:val="0"/>
            <w:vAlign w:val="center"/>
          </w:tcPr>
          <w:p w14:paraId="00C8BD6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5737" w:type="dxa"/>
            <w:noWrap w:val="0"/>
            <w:vAlign w:val="center"/>
          </w:tcPr>
          <w:p w14:paraId="31F5AC20">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根据供应商提供的服务方案进行评审，内容包括：</w:t>
            </w:r>
          </w:p>
          <w:p w14:paraId="6B00804B">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bCs/>
                <w:color w:val="auto"/>
                <w:sz w:val="24"/>
                <w:szCs w:val="24"/>
                <w:highlight w:val="none"/>
              </w:rPr>
              <w:t>内容包括：（1）</w:t>
            </w:r>
            <w:r>
              <w:rPr>
                <w:rFonts w:hint="eastAsia" w:ascii="仿宋" w:hAnsi="仿宋" w:eastAsia="仿宋" w:cs="仿宋"/>
                <w:bCs/>
                <w:color w:val="auto"/>
                <w:sz w:val="24"/>
                <w:szCs w:val="24"/>
                <w:highlight w:val="none"/>
                <w:lang w:eastAsia="zh-CN"/>
              </w:rPr>
              <w:t>标本采集、运输、保存方案</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）标本检测服务方案；（</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）检测结果异常时的复检方案；（</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）数据安全与保护隐私措施方案；（</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）应急预案。</w:t>
            </w:r>
            <w:r>
              <w:rPr>
                <w:rFonts w:hint="eastAsia" w:ascii="仿宋" w:hAnsi="仿宋" w:eastAsia="仿宋"/>
                <w:color w:val="auto"/>
                <w:kern w:val="2"/>
                <w:sz w:val="24"/>
                <w:highlight w:val="none"/>
                <w:lang w:val="en-US" w:eastAsia="zh-CN"/>
              </w:rPr>
              <w:t>每具有前述一项细化指标内容满足项目要求得6分，本项最多得30分。</w:t>
            </w: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3分，每项细化指标分值扣完为止。</w:t>
            </w:r>
          </w:p>
        </w:tc>
        <w:tc>
          <w:tcPr>
            <w:tcW w:w="890" w:type="dxa"/>
            <w:noWrap w:val="0"/>
            <w:vAlign w:val="center"/>
          </w:tcPr>
          <w:p w14:paraId="2E8ED72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7BA2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5A70BF14">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1305" w:type="dxa"/>
            <w:noWrap w:val="0"/>
            <w:vAlign w:val="center"/>
          </w:tcPr>
          <w:p w14:paraId="05BD422C">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标本运输</w:t>
            </w:r>
            <w:r>
              <w:rPr>
                <w:rFonts w:hint="eastAsia" w:ascii="仿宋" w:hAnsi="仿宋" w:eastAsia="仿宋" w:cs="仿宋"/>
                <w:bCs/>
                <w:color w:val="auto"/>
                <w:sz w:val="24"/>
                <w:szCs w:val="24"/>
                <w:highlight w:val="none"/>
              </w:rPr>
              <w:t>方案</w:t>
            </w:r>
          </w:p>
          <w:p w14:paraId="1A3018C5">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p>
        </w:tc>
        <w:tc>
          <w:tcPr>
            <w:tcW w:w="735" w:type="dxa"/>
            <w:noWrap w:val="0"/>
            <w:vAlign w:val="center"/>
          </w:tcPr>
          <w:p w14:paraId="3859DDEB">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12分</w:t>
            </w:r>
          </w:p>
        </w:tc>
        <w:tc>
          <w:tcPr>
            <w:tcW w:w="5737" w:type="dxa"/>
            <w:noWrap w:val="0"/>
            <w:vAlign w:val="center"/>
          </w:tcPr>
          <w:p w14:paraId="18F086DE">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根据供应商提供的标本运输方案进行评审，内容包括：</w:t>
            </w:r>
          </w:p>
          <w:p w14:paraId="561A9C86">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1）配送人员资质及培训；（2）标本交接流程及记录；（3）异常情况处理措施；（4）配送过程中的温控保障措施。</w:t>
            </w:r>
            <w:r>
              <w:rPr>
                <w:rFonts w:hint="eastAsia" w:ascii="仿宋" w:hAnsi="仿宋" w:eastAsia="仿宋"/>
                <w:color w:val="auto"/>
                <w:kern w:val="2"/>
                <w:sz w:val="24"/>
                <w:highlight w:val="none"/>
                <w:lang w:val="en-US" w:eastAsia="zh-CN"/>
              </w:rPr>
              <w:t>每具有前述一项细化指标内容满足项目要求得3分，本项最多得12分。</w:t>
            </w:r>
          </w:p>
          <w:p w14:paraId="70F03757">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1.5分，每项细化指标分值扣完为止。</w:t>
            </w:r>
          </w:p>
        </w:tc>
        <w:tc>
          <w:tcPr>
            <w:tcW w:w="890" w:type="dxa"/>
            <w:noWrap w:val="0"/>
            <w:vAlign w:val="center"/>
          </w:tcPr>
          <w:p w14:paraId="4805B8B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622A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6B936242">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1305" w:type="dxa"/>
            <w:noWrap w:val="0"/>
            <w:vAlign w:val="center"/>
          </w:tcPr>
          <w:p w14:paraId="12275AFC">
            <w:pPr>
              <w:wordWrap w:val="0"/>
              <w:spacing w:line="312"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技术服务方案</w:t>
            </w:r>
          </w:p>
          <w:p w14:paraId="273A7AF4">
            <w:pPr>
              <w:pStyle w:val="19"/>
              <w:ind w:left="0" w:leftChars="0" w:firstLine="0" w:firstLineChars="0"/>
              <w:rPr>
                <w:rFonts w:hint="default"/>
                <w:lang w:val="en-US" w:eastAsia="zh-CN"/>
              </w:rPr>
            </w:pPr>
            <w:r>
              <w:rPr>
                <w:rFonts w:hint="eastAsia" w:ascii="仿宋" w:hAnsi="仿宋" w:eastAsia="仿宋" w:cs="仿宋"/>
                <w:bCs/>
                <w:color w:val="auto"/>
                <w:sz w:val="24"/>
                <w:szCs w:val="24"/>
                <w:highlight w:val="none"/>
                <w:lang w:val="en-US" w:eastAsia="zh-CN"/>
              </w:rPr>
              <w:t xml:space="preserve">  16%</w:t>
            </w:r>
          </w:p>
        </w:tc>
        <w:tc>
          <w:tcPr>
            <w:tcW w:w="735" w:type="dxa"/>
            <w:noWrap w:val="0"/>
            <w:vAlign w:val="center"/>
          </w:tcPr>
          <w:p w14:paraId="4C11185C">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16</w:t>
            </w:r>
            <w:r>
              <w:rPr>
                <w:rFonts w:hint="eastAsia" w:ascii="仿宋" w:hAnsi="仿宋" w:eastAsia="仿宋" w:cs="仿宋"/>
                <w:bCs/>
                <w:color w:val="auto"/>
                <w:sz w:val="24"/>
                <w:szCs w:val="24"/>
                <w:highlight w:val="none"/>
              </w:rPr>
              <w:t>分</w:t>
            </w:r>
          </w:p>
        </w:tc>
        <w:tc>
          <w:tcPr>
            <w:tcW w:w="5737" w:type="dxa"/>
            <w:noWrap w:val="0"/>
            <w:vAlign w:val="center"/>
          </w:tcPr>
          <w:p w14:paraId="784629B5">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w:t>
            </w:r>
            <w:r>
              <w:rPr>
                <w:rFonts w:hint="eastAsia" w:ascii="仿宋" w:hAnsi="仿宋" w:eastAsia="仿宋" w:cs="仿宋"/>
                <w:bCs/>
                <w:color w:val="auto"/>
                <w:kern w:val="2"/>
                <w:sz w:val="24"/>
                <w:highlight w:val="none"/>
                <w:lang w:val="en-US" w:eastAsia="zh-CN"/>
              </w:rPr>
              <w:t>技术服务方案</w:t>
            </w:r>
            <w:r>
              <w:rPr>
                <w:rFonts w:hint="eastAsia" w:ascii="仿宋" w:hAnsi="仿宋" w:eastAsia="仿宋" w:cs="仿宋"/>
                <w:color w:val="auto"/>
                <w:kern w:val="2"/>
                <w:sz w:val="24"/>
                <w:highlight w:val="none"/>
                <w:lang w:val="en-US" w:eastAsia="zh-CN"/>
              </w:rPr>
              <w:t>进行评审，内容包括：</w:t>
            </w:r>
          </w:p>
          <w:p w14:paraId="7A370983">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）拟投入的设备设施；</w:t>
            </w:r>
            <w:r>
              <w:rPr>
                <w:rFonts w:hint="eastAsia" w:ascii="仿宋" w:hAnsi="仿宋" w:eastAsia="仿宋" w:cs="仿宋"/>
                <w:bCs/>
                <w:color w:val="auto"/>
                <w:sz w:val="24"/>
                <w:szCs w:val="24"/>
                <w:highlight w:val="none"/>
                <w:lang w:val="en-US" w:eastAsia="zh-CN"/>
              </w:rPr>
              <w:t>2）技术人员配备及培训计划；（3）质量管理体系认证情况；（4）过往服务案例及客户评价。</w:t>
            </w:r>
            <w:r>
              <w:rPr>
                <w:rFonts w:hint="eastAsia" w:ascii="仿宋" w:hAnsi="仿宋" w:eastAsia="仿宋" w:cs="仿宋"/>
                <w:color w:val="auto"/>
                <w:kern w:val="2"/>
                <w:sz w:val="24"/>
                <w:highlight w:val="none"/>
                <w:lang w:val="en-US" w:eastAsia="zh-CN"/>
              </w:rPr>
              <w:t>每具有前述一项细化指标内容满足项目要求得4分，本项最多得16分。</w:t>
            </w:r>
          </w:p>
          <w:p w14:paraId="0BFB3C8C">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2分，每项细化指标分值扣完为止。</w:t>
            </w:r>
          </w:p>
        </w:tc>
        <w:tc>
          <w:tcPr>
            <w:tcW w:w="890" w:type="dxa"/>
            <w:noWrap w:val="0"/>
            <w:vAlign w:val="center"/>
          </w:tcPr>
          <w:p w14:paraId="7E9F6DC6">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486A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198102BD">
            <w:pPr>
              <w:spacing w:line="312" w:lineRule="auto"/>
              <w:ind w:firstLine="480" w:firstLineChars="2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w:t>
            </w:r>
          </w:p>
        </w:tc>
        <w:tc>
          <w:tcPr>
            <w:tcW w:w="1305" w:type="dxa"/>
            <w:noWrap w:val="0"/>
            <w:vAlign w:val="center"/>
          </w:tcPr>
          <w:p w14:paraId="60CDC03A">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实验室质量控制措施</w:t>
            </w:r>
          </w:p>
          <w:p w14:paraId="7793CC55">
            <w:pPr>
              <w:spacing w:line="312"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35" w:type="dxa"/>
            <w:noWrap w:val="0"/>
            <w:vAlign w:val="center"/>
          </w:tcPr>
          <w:p w14:paraId="56C8BDD8">
            <w:pPr>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c>
          <w:tcPr>
            <w:tcW w:w="5737" w:type="dxa"/>
            <w:noWrap w:val="0"/>
            <w:vAlign w:val="center"/>
          </w:tcPr>
          <w:p w14:paraId="542D2EE0">
            <w:pPr>
              <w:spacing w:line="312"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供应商应制定实验室质量控制措施，内容包括：（1）室间质评；（2）室内质控；（3）质量管理制度；（4）室内质控记录等。每具有前述一项细化指标内容满足项目要求得2分，本项最多得8分。</w:t>
            </w:r>
          </w:p>
          <w:p w14:paraId="1C79B234">
            <w:pPr>
              <w:spacing w:line="312"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分，每项细化指标分值扣完为止。</w:t>
            </w:r>
          </w:p>
          <w:p w14:paraId="67E625FA">
            <w:pPr>
              <w:spacing w:line="312" w:lineRule="auto"/>
              <w:jc w:val="center"/>
              <w:rPr>
                <w:rFonts w:hint="eastAsia" w:ascii="仿宋" w:hAnsi="仿宋" w:eastAsia="仿宋" w:cs="仿宋"/>
                <w:color w:val="auto"/>
                <w:sz w:val="24"/>
                <w:szCs w:val="24"/>
                <w:highlight w:val="none"/>
                <w:lang w:val="en-US" w:eastAsia="zh-CN"/>
              </w:rPr>
            </w:pPr>
          </w:p>
        </w:tc>
        <w:tc>
          <w:tcPr>
            <w:tcW w:w="890" w:type="dxa"/>
            <w:noWrap w:val="0"/>
            <w:vAlign w:val="center"/>
          </w:tcPr>
          <w:p w14:paraId="0F2DFAFE">
            <w:pPr>
              <w:spacing w:line="312" w:lineRule="auto"/>
              <w:jc w:val="center"/>
              <w:rPr>
                <w:rFonts w:hint="eastAsia" w:ascii="仿宋" w:hAnsi="仿宋" w:eastAsia="仿宋" w:cs="仿宋"/>
                <w:color w:val="auto"/>
                <w:sz w:val="24"/>
                <w:szCs w:val="24"/>
                <w:highlight w:val="none"/>
              </w:rPr>
            </w:pPr>
          </w:p>
        </w:tc>
      </w:tr>
      <w:tr w14:paraId="27C0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629D8D10">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1305" w:type="dxa"/>
            <w:noWrap w:val="0"/>
            <w:vAlign w:val="center"/>
          </w:tcPr>
          <w:p w14:paraId="3BE4E9DC">
            <w:pPr>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履约能力</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p>
        </w:tc>
        <w:tc>
          <w:tcPr>
            <w:tcW w:w="735" w:type="dxa"/>
            <w:noWrap w:val="0"/>
            <w:vAlign w:val="center"/>
          </w:tcPr>
          <w:p w14:paraId="55ABCC1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5737" w:type="dxa"/>
            <w:noWrap w:val="0"/>
            <w:vAlign w:val="center"/>
          </w:tcPr>
          <w:p w14:paraId="57E15272">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供应商提供2021年1月1日至今的类似项目业绩，每提供一个业绩得1分，本项最多得4分。</w:t>
            </w:r>
          </w:p>
          <w:p w14:paraId="50E86DC8">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注：提供成交（成交）通知书或合同复印件加盖供应商公章。</w:t>
            </w:r>
          </w:p>
        </w:tc>
        <w:tc>
          <w:tcPr>
            <w:tcW w:w="890" w:type="dxa"/>
            <w:noWrap w:val="0"/>
            <w:vAlign w:val="center"/>
          </w:tcPr>
          <w:p w14:paraId="322CD7D0">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bl>
    <w:p w14:paraId="21C6201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注：评分的取值按四舍五入法，保留小数点后两位。</w:t>
      </w:r>
    </w:p>
    <w:p w14:paraId="44826B0C">
      <w:pPr>
        <w:pStyle w:val="19"/>
        <w:rPr>
          <w:rFonts w:hint="default" w:eastAsia="仿宋"/>
          <w:lang w:val="en-US" w:eastAsia="zh-CN"/>
        </w:rPr>
      </w:pPr>
      <w:r>
        <w:rPr>
          <w:rFonts w:hint="eastAsia" w:ascii="仿宋" w:hAnsi="仿宋" w:eastAsia="仿宋" w:cs="仿宋"/>
          <w:b/>
          <w:color w:val="auto"/>
          <w:sz w:val="24"/>
          <w:szCs w:val="24"/>
          <w:highlight w:val="none"/>
          <w:lang w:eastAsia="zh-CN"/>
        </w:rPr>
        <w:t>包</w:t>
      </w:r>
      <w:r>
        <w:rPr>
          <w:rFonts w:hint="eastAsia" w:ascii="仿宋" w:hAnsi="仿宋" w:eastAsia="仿宋" w:cs="仿宋"/>
          <w:b/>
          <w:color w:val="auto"/>
          <w:sz w:val="24"/>
          <w:szCs w:val="24"/>
          <w:highlight w:val="none"/>
          <w:lang w:val="en-US" w:eastAsia="zh-CN"/>
        </w:rPr>
        <w:t>2：远程会诊服务</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305"/>
        <w:gridCol w:w="735"/>
        <w:gridCol w:w="5737"/>
        <w:gridCol w:w="890"/>
      </w:tblGrid>
      <w:tr w14:paraId="68E7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688051A7">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05" w:type="dxa"/>
            <w:noWrap w:val="0"/>
            <w:vAlign w:val="center"/>
          </w:tcPr>
          <w:p w14:paraId="0606868F">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评分因素及权重</w:t>
            </w:r>
          </w:p>
        </w:tc>
        <w:tc>
          <w:tcPr>
            <w:tcW w:w="735" w:type="dxa"/>
            <w:noWrap w:val="0"/>
            <w:vAlign w:val="center"/>
          </w:tcPr>
          <w:p w14:paraId="3239A109">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5737" w:type="dxa"/>
            <w:noWrap w:val="0"/>
            <w:vAlign w:val="center"/>
          </w:tcPr>
          <w:p w14:paraId="5DE02B72">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890" w:type="dxa"/>
            <w:noWrap w:val="0"/>
            <w:vAlign w:val="center"/>
          </w:tcPr>
          <w:p w14:paraId="6D403F53">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402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77" w:type="dxa"/>
            <w:noWrap w:val="0"/>
            <w:vAlign w:val="center"/>
          </w:tcPr>
          <w:p w14:paraId="0D0BE3FD">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05" w:type="dxa"/>
            <w:noWrap w:val="0"/>
            <w:vAlign w:val="center"/>
          </w:tcPr>
          <w:p w14:paraId="1CDEB27C">
            <w:pPr>
              <w:wordWrap w:val="0"/>
              <w:spacing w:line="312" w:lineRule="auto"/>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w:t>
            </w:r>
          </w:p>
        </w:tc>
        <w:tc>
          <w:tcPr>
            <w:tcW w:w="735" w:type="dxa"/>
            <w:noWrap w:val="0"/>
            <w:vAlign w:val="center"/>
          </w:tcPr>
          <w:p w14:paraId="7E53B213">
            <w:pPr>
              <w:spacing w:line="312"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30分</w:t>
            </w:r>
          </w:p>
        </w:tc>
        <w:tc>
          <w:tcPr>
            <w:tcW w:w="5737" w:type="dxa"/>
            <w:noWrap w:val="0"/>
            <w:vAlign w:val="center"/>
          </w:tcPr>
          <w:p w14:paraId="21A1050D">
            <w:pPr>
              <w:widowControl/>
              <w:snapToGrid w:val="0"/>
              <w:spacing w:line="312" w:lineRule="auto"/>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0"/>
                <w:sz w:val="24"/>
                <w:highlight w:val="none"/>
              </w:rPr>
              <w:t>以本次有效的最低报价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单价合计金额</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为基准价，其价格分为满分。其他</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的价格分统一按照下列公式计算：投标报价得分=(基准价/</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报价）×100×</w:t>
            </w: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w:t>
            </w:r>
          </w:p>
        </w:tc>
        <w:tc>
          <w:tcPr>
            <w:tcW w:w="890" w:type="dxa"/>
            <w:noWrap w:val="0"/>
            <w:vAlign w:val="center"/>
          </w:tcPr>
          <w:p w14:paraId="4A86C7A6">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2857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0FFDECE1">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305" w:type="dxa"/>
            <w:noWrap w:val="0"/>
            <w:vAlign w:val="center"/>
          </w:tcPr>
          <w:p w14:paraId="1588B4E1">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技术服务</w:t>
            </w:r>
            <w:r>
              <w:rPr>
                <w:rFonts w:hint="eastAsia" w:ascii="仿宋" w:hAnsi="仿宋" w:eastAsia="仿宋" w:cs="仿宋"/>
                <w:bCs/>
                <w:color w:val="auto"/>
                <w:sz w:val="24"/>
                <w:szCs w:val="24"/>
                <w:highlight w:val="none"/>
              </w:rPr>
              <w:t>方案</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w:t>
            </w:r>
          </w:p>
        </w:tc>
        <w:tc>
          <w:tcPr>
            <w:tcW w:w="735" w:type="dxa"/>
            <w:noWrap w:val="0"/>
            <w:vAlign w:val="center"/>
          </w:tcPr>
          <w:p w14:paraId="758AFC5C">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5737" w:type="dxa"/>
            <w:noWrap w:val="0"/>
            <w:vAlign w:val="center"/>
          </w:tcPr>
          <w:p w14:paraId="69A657FE">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根据供应商提供的服务方案进行评审，内容包括：</w:t>
            </w:r>
          </w:p>
          <w:p w14:paraId="2BF39C95">
            <w:pPr>
              <w:spacing w:line="312" w:lineRule="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（1）远程会诊平台介绍；（2）专家团队构成；（3）会诊流程及响应时间；（4）技术支持与保障措施；（5）数据安全与隐私保护方案。</w:t>
            </w:r>
          </w:p>
          <w:p w14:paraId="0C8EA7A0">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olor w:val="auto"/>
                <w:kern w:val="2"/>
                <w:sz w:val="24"/>
                <w:highlight w:val="none"/>
                <w:lang w:val="en-US" w:eastAsia="zh-CN"/>
              </w:rPr>
              <w:t>每具有前述一项细化指标内容满足项目要求得6分，本项最多得30分。</w:t>
            </w: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3分，每项细化指标分值扣完为止。</w:t>
            </w:r>
          </w:p>
        </w:tc>
        <w:tc>
          <w:tcPr>
            <w:tcW w:w="890" w:type="dxa"/>
            <w:noWrap w:val="0"/>
            <w:vAlign w:val="center"/>
          </w:tcPr>
          <w:p w14:paraId="6C8A042D">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1259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4ECD9F57">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1305" w:type="dxa"/>
            <w:shd w:val="clear" w:color="auto" w:fill="auto"/>
            <w:noWrap w:val="0"/>
            <w:vAlign w:val="center"/>
          </w:tcPr>
          <w:p w14:paraId="0FF877B2">
            <w:pPr>
              <w:wordWrap w:val="0"/>
              <w:spacing w:line="312"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应急预案</w:t>
            </w:r>
          </w:p>
          <w:p w14:paraId="3F49788A">
            <w:pPr>
              <w:pStyle w:val="19"/>
              <w:ind w:left="0" w:leftChars="0" w:firstLine="480" w:firstLineChars="200"/>
              <w:rPr>
                <w:rFonts w:hint="eastAsia" w:ascii="Calibri" w:hAnsi="Calibri" w:eastAsia="宋体" w:cs="Times New Roman"/>
                <w:kern w:val="2"/>
                <w:sz w:val="21"/>
                <w:szCs w:val="22"/>
                <w:lang w:val="en-US" w:eastAsia="zh-CN" w:bidi="ar-SA"/>
              </w:rPr>
            </w:pPr>
            <w:r>
              <w:rPr>
                <w:rFonts w:hint="eastAsia" w:ascii="仿宋" w:hAnsi="仿宋" w:eastAsia="仿宋" w:cs="仿宋"/>
                <w:bCs/>
                <w:color w:val="auto"/>
                <w:sz w:val="24"/>
                <w:szCs w:val="24"/>
                <w:highlight w:val="none"/>
                <w:lang w:val="en-US" w:eastAsia="zh-CN"/>
              </w:rPr>
              <w:t>20%</w:t>
            </w:r>
          </w:p>
        </w:tc>
        <w:tc>
          <w:tcPr>
            <w:tcW w:w="735" w:type="dxa"/>
            <w:shd w:val="clear" w:color="auto" w:fill="auto"/>
            <w:noWrap w:val="0"/>
            <w:vAlign w:val="center"/>
          </w:tcPr>
          <w:p w14:paraId="7EDF2CA4">
            <w:pPr>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分</w:t>
            </w:r>
          </w:p>
        </w:tc>
        <w:tc>
          <w:tcPr>
            <w:tcW w:w="5737" w:type="dxa"/>
            <w:noWrap w:val="0"/>
            <w:vAlign w:val="center"/>
          </w:tcPr>
          <w:p w14:paraId="27D55768">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根据供应商提供的技术服务方案进行评审，内容包括：</w:t>
            </w:r>
          </w:p>
          <w:p w14:paraId="34945D1B">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（1）明确应急响应机制；（2）设定紧急会诊流程；（3）配备备用技术支持；（4）保障数据安全；（5）提供应急预案演练记录。每具有前述一项细化指标内容满足项目要求得4分，本项最多得20分。</w:t>
            </w:r>
          </w:p>
          <w:p w14:paraId="2D86DB4E">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2分，每项细化指标分值扣完为止。</w:t>
            </w:r>
          </w:p>
        </w:tc>
        <w:tc>
          <w:tcPr>
            <w:tcW w:w="890" w:type="dxa"/>
            <w:noWrap w:val="0"/>
            <w:vAlign w:val="center"/>
          </w:tcPr>
          <w:p w14:paraId="11CBBC8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3075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6EABBAEE">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1305" w:type="dxa"/>
            <w:noWrap w:val="0"/>
            <w:vAlign w:val="center"/>
          </w:tcPr>
          <w:p w14:paraId="636D7E66">
            <w:pPr>
              <w:pStyle w:val="19"/>
              <w:ind w:left="0" w:leftChars="0" w:firstLine="0" w:firstLineChars="0"/>
              <w:jc w:val="center"/>
              <w:rPr>
                <w:rFonts w:hint="default"/>
                <w:lang w:val="en-US" w:eastAsia="zh-CN"/>
              </w:rPr>
            </w:pPr>
            <w:r>
              <w:rPr>
                <w:rFonts w:hint="eastAsia" w:cs="仿宋"/>
                <w:color w:val="000000" w:themeColor="text1"/>
                <w:kern w:val="2"/>
                <w:sz w:val="21"/>
                <w:szCs w:val="21"/>
                <w:lang w:eastAsia="zh-CN"/>
                <w14:textFill>
                  <w14:solidFill>
                    <w14:schemeClr w14:val="tx1"/>
                  </w14:solidFill>
                </w14:textFill>
              </w:rPr>
              <w:t>培训</w:t>
            </w:r>
            <w:r>
              <w:rPr>
                <w:rFonts w:hint="eastAsia" w:cs="仿宋"/>
                <w:color w:val="000000" w:themeColor="text1"/>
                <w:kern w:val="2"/>
                <w:sz w:val="21"/>
                <w:szCs w:val="21"/>
                <w14:textFill>
                  <w14:solidFill>
                    <w14:schemeClr w14:val="tx1"/>
                  </w14:solidFill>
                </w14:textFill>
              </w:rPr>
              <w:t>方案</w:t>
            </w:r>
            <w:r>
              <w:rPr>
                <w:rFonts w:hint="eastAsia"/>
                <w:lang w:val="en-US" w:eastAsia="zh-CN"/>
              </w:rPr>
              <w:t>10%</w:t>
            </w:r>
          </w:p>
        </w:tc>
        <w:tc>
          <w:tcPr>
            <w:tcW w:w="735" w:type="dxa"/>
            <w:noWrap w:val="0"/>
            <w:vAlign w:val="center"/>
          </w:tcPr>
          <w:p w14:paraId="52730A71">
            <w:pPr>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5737" w:type="dxa"/>
            <w:shd w:val="clear" w:color="auto" w:fill="auto"/>
            <w:noWrap w:val="0"/>
            <w:vAlign w:val="center"/>
          </w:tcPr>
          <w:p w14:paraId="67FAD782">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根据供应商提供的技术服务方案进行评审，内容包括：</w:t>
            </w:r>
          </w:p>
          <w:p w14:paraId="5067EAA6">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（1）</w:t>
            </w:r>
            <w:r>
              <w:rPr>
                <w:rFonts w:hint="eastAsia" w:ascii="仿宋" w:hAnsi="仿宋" w:eastAsia="仿宋" w:cs="仿宋"/>
                <w:color w:val="auto"/>
                <w:kern w:val="2"/>
                <w:sz w:val="24"/>
                <w:highlight w:val="none"/>
                <w:lang w:val="zh-CN" w:eastAsia="zh-CN"/>
              </w:rPr>
              <w:t>培训目标；（</w:t>
            </w:r>
            <w:r>
              <w:rPr>
                <w:rFonts w:hint="eastAsia" w:ascii="仿宋" w:hAnsi="仿宋" w:eastAsia="仿宋" w:cs="仿宋"/>
                <w:color w:val="auto"/>
                <w:kern w:val="2"/>
                <w:sz w:val="24"/>
                <w:highlight w:val="none"/>
                <w:lang w:val="en-US" w:eastAsia="zh-CN"/>
              </w:rPr>
              <w:t>2</w:t>
            </w:r>
            <w:r>
              <w:rPr>
                <w:rFonts w:hint="eastAsia" w:ascii="仿宋" w:hAnsi="仿宋" w:eastAsia="仿宋" w:cs="仿宋"/>
                <w:color w:val="auto"/>
                <w:kern w:val="2"/>
                <w:sz w:val="24"/>
                <w:highlight w:val="none"/>
                <w:lang w:val="zh-CN" w:eastAsia="zh-CN"/>
              </w:rPr>
              <w:t>）课程设置；（</w:t>
            </w:r>
            <w:r>
              <w:rPr>
                <w:rFonts w:hint="eastAsia" w:ascii="仿宋" w:hAnsi="仿宋" w:eastAsia="仿宋" w:cs="仿宋"/>
                <w:color w:val="auto"/>
                <w:kern w:val="2"/>
                <w:sz w:val="24"/>
                <w:highlight w:val="none"/>
                <w:lang w:val="en-US" w:eastAsia="zh-CN"/>
              </w:rPr>
              <w:t>3</w:t>
            </w:r>
            <w:r>
              <w:rPr>
                <w:rFonts w:hint="eastAsia" w:ascii="仿宋" w:hAnsi="仿宋" w:eastAsia="仿宋" w:cs="仿宋"/>
                <w:color w:val="auto"/>
                <w:kern w:val="2"/>
                <w:sz w:val="24"/>
                <w:highlight w:val="none"/>
                <w:lang w:val="zh-CN" w:eastAsia="zh-CN"/>
              </w:rPr>
              <w:t>）师资安排；（</w:t>
            </w:r>
            <w:r>
              <w:rPr>
                <w:rFonts w:hint="eastAsia" w:ascii="仿宋" w:hAnsi="仿宋" w:eastAsia="仿宋" w:cs="仿宋"/>
                <w:color w:val="auto"/>
                <w:kern w:val="2"/>
                <w:sz w:val="24"/>
                <w:highlight w:val="none"/>
                <w:lang w:val="en-US" w:eastAsia="zh-CN"/>
              </w:rPr>
              <w:t>4</w:t>
            </w:r>
            <w:r>
              <w:rPr>
                <w:rFonts w:hint="eastAsia" w:ascii="仿宋" w:hAnsi="仿宋" w:eastAsia="仿宋" w:cs="仿宋"/>
                <w:color w:val="auto"/>
                <w:kern w:val="2"/>
                <w:sz w:val="24"/>
                <w:highlight w:val="none"/>
                <w:lang w:val="zh-CN" w:eastAsia="zh-CN"/>
              </w:rPr>
              <w:t>）考核标准；（</w:t>
            </w:r>
            <w:r>
              <w:rPr>
                <w:rFonts w:hint="eastAsia" w:ascii="仿宋" w:hAnsi="仿宋" w:eastAsia="仿宋" w:cs="仿宋"/>
                <w:color w:val="auto"/>
                <w:kern w:val="2"/>
                <w:sz w:val="24"/>
                <w:highlight w:val="none"/>
                <w:lang w:val="en-US" w:eastAsia="zh-CN"/>
              </w:rPr>
              <w:t>5</w:t>
            </w:r>
            <w:r>
              <w:rPr>
                <w:rFonts w:hint="eastAsia" w:ascii="仿宋" w:hAnsi="仿宋" w:eastAsia="仿宋" w:cs="仿宋"/>
                <w:color w:val="auto"/>
                <w:kern w:val="2"/>
                <w:sz w:val="24"/>
                <w:highlight w:val="none"/>
                <w:lang w:val="zh-CN" w:eastAsia="zh-CN"/>
              </w:rPr>
              <w:t>）反馈机制。</w:t>
            </w:r>
            <w:r>
              <w:rPr>
                <w:rFonts w:hint="eastAsia" w:ascii="仿宋" w:hAnsi="仿宋" w:eastAsia="仿宋" w:cs="仿宋"/>
                <w:color w:val="auto"/>
                <w:kern w:val="2"/>
                <w:sz w:val="24"/>
                <w:highlight w:val="none"/>
                <w:lang w:val="en-US" w:eastAsia="zh-CN"/>
              </w:rPr>
              <w:t>每具有前述一项细化指标内容满足项目要求得2分，本项最多得10分。</w:t>
            </w:r>
          </w:p>
          <w:p w14:paraId="1C2C6B3E">
            <w:pPr>
              <w:pStyle w:val="7"/>
              <w:spacing w:after="0"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分，每项细化指标分值扣完为止。</w:t>
            </w:r>
          </w:p>
        </w:tc>
        <w:tc>
          <w:tcPr>
            <w:tcW w:w="890" w:type="dxa"/>
            <w:noWrap w:val="0"/>
            <w:vAlign w:val="center"/>
          </w:tcPr>
          <w:p w14:paraId="33E376A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5F25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4D4EEA13">
            <w:pPr>
              <w:spacing w:line="312" w:lineRule="auto"/>
              <w:ind w:firstLine="480" w:firstLineChars="2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w:t>
            </w:r>
          </w:p>
        </w:tc>
        <w:tc>
          <w:tcPr>
            <w:tcW w:w="1305" w:type="dxa"/>
            <w:noWrap w:val="0"/>
            <w:vAlign w:val="center"/>
          </w:tcPr>
          <w:p w14:paraId="460D9557">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拟投入本项目人员</w:t>
            </w:r>
          </w:p>
          <w:p w14:paraId="59EBF2C4">
            <w:pPr>
              <w:spacing w:line="312"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735" w:type="dxa"/>
            <w:noWrap w:val="0"/>
            <w:vAlign w:val="center"/>
          </w:tcPr>
          <w:p w14:paraId="43B03E9A">
            <w:pPr>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5737" w:type="dxa"/>
            <w:noWrap w:val="0"/>
            <w:vAlign w:val="center"/>
          </w:tcPr>
          <w:p w14:paraId="57CF93FD">
            <w:pPr>
              <w:spacing w:line="312"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供应商拟投入本项目人员具备医学病理诊断相关专业主治医师以上（含主治医师）职称的人员病理诊断或复核，每提供1人得1分，最高得4分；需提供人员职称证书，不提供不得分。</w:t>
            </w:r>
          </w:p>
        </w:tc>
        <w:tc>
          <w:tcPr>
            <w:tcW w:w="890" w:type="dxa"/>
            <w:noWrap w:val="0"/>
            <w:vAlign w:val="center"/>
          </w:tcPr>
          <w:p w14:paraId="53BA9468">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0CD1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shd w:val="clear" w:color="auto" w:fill="auto"/>
            <w:noWrap w:val="0"/>
            <w:vAlign w:val="center"/>
          </w:tcPr>
          <w:p w14:paraId="07B55711">
            <w:pPr>
              <w:spacing w:line="312" w:lineRule="auto"/>
              <w:ind w:firstLine="480" w:firstLineChars="20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p>
        </w:tc>
        <w:tc>
          <w:tcPr>
            <w:tcW w:w="1305" w:type="dxa"/>
            <w:shd w:val="clear" w:color="auto" w:fill="auto"/>
            <w:noWrap w:val="0"/>
            <w:vAlign w:val="center"/>
          </w:tcPr>
          <w:p w14:paraId="3C6E9ED3">
            <w:pPr>
              <w:spacing w:line="312"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rPr>
              <w:t>履约能力</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p>
        </w:tc>
        <w:tc>
          <w:tcPr>
            <w:tcW w:w="735" w:type="dxa"/>
            <w:shd w:val="clear" w:color="auto" w:fill="auto"/>
            <w:noWrap w:val="0"/>
            <w:vAlign w:val="center"/>
          </w:tcPr>
          <w:p w14:paraId="48D8682C">
            <w:pPr>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5737" w:type="dxa"/>
            <w:shd w:val="clear" w:color="auto" w:fill="auto"/>
            <w:noWrap w:val="0"/>
            <w:vAlign w:val="center"/>
          </w:tcPr>
          <w:p w14:paraId="2E86DFBD">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供应商提供2021年1月1日至今的类似项目业绩，每提供一个业绩得2分，本项最多得6分。</w:t>
            </w:r>
          </w:p>
          <w:p w14:paraId="1F88F4A9">
            <w:pPr>
              <w:pStyle w:val="7"/>
              <w:spacing w:after="0"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highlight w:val="none"/>
                <w:lang w:val="en-US" w:eastAsia="zh-CN"/>
              </w:rPr>
              <w:t>注：提供成交（成交）通知书或合同复印件加盖供应商公章。</w:t>
            </w:r>
          </w:p>
        </w:tc>
        <w:tc>
          <w:tcPr>
            <w:tcW w:w="890" w:type="dxa"/>
            <w:shd w:val="clear" w:color="auto" w:fill="auto"/>
            <w:noWrap w:val="0"/>
            <w:vAlign w:val="center"/>
          </w:tcPr>
          <w:p w14:paraId="62F521E3">
            <w:pPr>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共同评分因素</w:t>
            </w:r>
          </w:p>
        </w:tc>
      </w:tr>
    </w:tbl>
    <w:p w14:paraId="3383C9A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注：评分的取值按四舍五入法，保留小数点后两位。</w:t>
      </w:r>
    </w:p>
    <w:p w14:paraId="72E71106">
      <w:pPr>
        <w:pStyle w:val="19"/>
        <w:rPr>
          <w:rFonts w:hint="default" w:eastAsia="仿宋"/>
          <w:lang w:val="en-US" w:eastAsia="zh-CN"/>
        </w:rPr>
      </w:pPr>
    </w:p>
    <w:p w14:paraId="574A262D">
      <w:pPr>
        <w:pStyle w:val="3"/>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bookmarkEnd w:id="187"/>
      <w:r>
        <w:rPr>
          <w:rFonts w:hint="eastAsia" w:ascii="仿宋" w:hAnsi="仿宋" w:eastAsia="仿宋" w:cs="仿宋"/>
          <w:color w:val="auto"/>
          <w:sz w:val="24"/>
          <w:highlight w:val="none"/>
        </w:rPr>
        <w:t>磋商小组在政府采购活动中承担以下义务：</w:t>
      </w:r>
    </w:p>
    <w:p w14:paraId="5C532315">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5.1遵守评审工作纪律；</w:t>
      </w:r>
    </w:p>
    <w:p w14:paraId="50A8CA5B">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5.2按照客观、公正、审慎的原则，根据磋商文件规定的评审程序、评审方法和评审标准进行独立评审；</w:t>
      </w:r>
    </w:p>
    <w:p w14:paraId="7C60F07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5.3不得泄露评审文件、评审情况和在评审过程中获悉的商业秘密；</w:t>
      </w:r>
    </w:p>
    <w:p w14:paraId="0FE0D34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5.4及时向财政部门报告评审过程中发现的采购人向评审专家做倾向性、误导性的解释或者说明，以及供应商行贿、提供虚假材料或者串通等违法行为；</w:t>
      </w:r>
    </w:p>
    <w:p w14:paraId="0CAB58A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5.5发现磋商文件内容违反国家有关强制性规定或者磋商文件存在歧义、重大缺陷导致评审工作无法进行时，停止评审并向采购人书面说明情况；</w:t>
      </w:r>
    </w:p>
    <w:p w14:paraId="69FB409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5.6及时向财政、监察等部门举报在评审过程中受到非法干预的情况；</w:t>
      </w:r>
    </w:p>
    <w:p w14:paraId="58FBC72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5.7配合答复处理供应商的询问、质疑和投诉等事项；</w:t>
      </w:r>
    </w:p>
    <w:p w14:paraId="2F08FC95">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5.8法律、法规和规章规定的其他义务。</w:t>
      </w:r>
    </w:p>
    <w:p w14:paraId="42BB13CE">
      <w:pPr>
        <w:tabs>
          <w:tab w:val="left" w:pos="7665"/>
        </w:tabs>
        <w:snapToGrid w:val="0"/>
        <w:spacing w:line="312" w:lineRule="auto"/>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6.评审专家在政府采购活动中应当遵守以下工作纪律：</w:t>
      </w:r>
    </w:p>
    <w:p w14:paraId="04AD4F5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kern w:val="0"/>
          <w:sz w:val="24"/>
          <w:highlight w:val="none"/>
        </w:rPr>
        <w:t>遵行《政府采购法》第十二条和《政府采购法实施条例》第九条及财政部关于回避的规定；</w:t>
      </w:r>
    </w:p>
    <w:p w14:paraId="10EA445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6.2评审前，应当将通讯工具或者相关电子设备交由采购代理机构统一保管；</w:t>
      </w:r>
    </w:p>
    <w:p w14:paraId="05D6B21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6.3评审过程中，不得与外界联系，因发生不可预见情况，确实需要与外界联系的，应当在监督人员监督之下办理；</w:t>
      </w:r>
    </w:p>
    <w:p w14:paraId="0AF7B72A">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F7F601F">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6.5在评审过程中和评审结束后，不得记录、复制或带走任何评审资料，不得向外界透露评审内容；</w:t>
      </w:r>
    </w:p>
    <w:p w14:paraId="796B154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6.6评审现场服从采购代理机构工作人员的管理，接受现场监督人员的合法监督；</w:t>
      </w:r>
    </w:p>
    <w:p w14:paraId="1300BC44">
      <w:pPr>
        <w:tabs>
          <w:tab w:val="left" w:pos="7665"/>
        </w:tabs>
        <w:snapToGrid w:val="0"/>
        <w:spacing w:line="312" w:lineRule="auto"/>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highlight w:val="none"/>
        </w:rPr>
        <w:t>6.7遵守有关廉洁自律规定，不得私下接触供应商，不得收受供应商及有关业务单位和个人的财物或好处，不得接受采购代理机构的请托；</w:t>
      </w:r>
    </w:p>
    <w:p w14:paraId="646377E6">
      <w:pPr>
        <w:pStyle w:val="36"/>
        <w:keepLines w:val="0"/>
        <w:snapToGrid w:val="0"/>
        <w:spacing w:before="0" w:after="0" w:line="312" w:lineRule="auto"/>
        <w:ind w:firstLine="480" w:firstLineChars="200"/>
        <w:outlineLvl w:val="9"/>
        <w:rPr>
          <w:rFonts w:hint="eastAsia" w:ascii="仿宋" w:hAnsi="仿宋" w:eastAsia="仿宋" w:cs="仿宋"/>
          <w:color w:val="auto"/>
          <w:kern w:val="0"/>
          <w:sz w:val="24"/>
          <w:szCs w:val="24"/>
          <w:highlight w:val="none"/>
          <w:lang w:eastAsia="zh-CN" w:bidi="ar-SA"/>
        </w:rPr>
      </w:pPr>
      <w:r>
        <w:rPr>
          <w:rFonts w:hint="eastAsia" w:ascii="仿宋" w:hAnsi="仿宋" w:eastAsia="仿宋" w:cs="仿宋"/>
          <w:color w:val="auto"/>
          <w:kern w:val="0"/>
          <w:sz w:val="24"/>
          <w:szCs w:val="24"/>
          <w:highlight w:val="none"/>
          <w:lang w:eastAsia="zh-CN" w:bidi="ar-SA"/>
        </w:rPr>
        <w:t>6.8有关部门（机构）制定的其他评审工作纪律。</w:t>
      </w:r>
    </w:p>
    <w:bookmarkEnd w:id="89"/>
    <w:bookmarkEnd w:id="90"/>
    <w:bookmarkEnd w:id="91"/>
    <w:p w14:paraId="32761669">
      <w:pPr>
        <w:widowControl/>
        <w:snapToGrid w:val="0"/>
        <w:spacing w:line="312" w:lineRule="auto"/>
        <w:jc w:val="left"/>
      </w:pPr>
    </w:p>
    <w:sectPr>
      <w:footerReference r:id="rId4" w:type="default"/>
      <w:pgSz w:w="11850" w:h="16783"/>
      <w:pgMar w:top="1417" w:right="1287" w:bottom="935" w:left="12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宋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Wingdings 2">
    <w:altName w:val="Wingdings"/>
    <w:panose1 w:val="05020102010507070707"/>
    <w:charset w:val="02"/>
    <w:family w:val="auto"/>
    <w:pitch w:val="default"/>
    <w:sig w:usb0="00000000" w:usb1="00000000" w:usb2="00000000" w:usb3="00000000" w:csb0="80000000" w:csb1="00000000"/>
  </w:font>
  <w:font w:name="方正书宋简体">
    <w:altName w:val="宋体"/>
    <w:panose1 w:val="00000000000000000000"/>
    <w:charset w:val="00"/>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5BC1">
    <w:pPr>
      <w:pStyle w:val="11"/>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AC5455">
                          <w:pPr>
                            <w:pStyle w:val="11"/>
                          </w:pPr>
                          <w:r>
                            <w:fldChar w:fldCharType="begin"/>
                          </w:r>
                          <w:r>
                            <w:instrText xml:space="preserve"> PAGE  \* MERGEFORMAT </w:instrText>
                          </w:r>
                          <w:r>
                            <w:fldChar w:fldCharType="separate"/>
                          </w:r>
                          <w:r>
                            <w:t>94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BAC5455">
                    <w:pPr>
                      <w:pStyle w:val="11"/>
                    </w:pPr>
                    <w:r>
                      <w:fldChar w:fldCharType="begin"/>
                    </w:r>
                    <w:r>
                      <w:instrText xml:space="preserve"> PAGE  \* MERGEFORMAT </w:instrText>
                    </w:r>
                    <w:r>
                      <w:fldChar w:fldCharType="separate"/>
                    </w:r>
                    <w:r>
                      <w:t>94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F24D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D6920"/>
    <w:multiLevelType w:val="singleLevel"/>
    <w:tmpl w:val="85BD6920"/>
    <w:lvl w:ilvl="0" w:tentative="0">
      <w:start w:val="1"/>
      <w:numFmt w:val="chineseCounting"/>
      <w:suff w:val="nothing"/>
      <w:lvlText w:val="（%1）"/>
      <w:lvlJc w:val="left"/>
      <w:rPr>
        <w:rFonts w:hint="eastAsia"/>
      </w:rPr>
    </w:lvl>
  </w:abstractNum>
  <w:abstractNum w:abstractNumId="1">
    <w:nsid w:val="B04D8E0A"/>
    <w:multiLevelType w:val="multilevel"/>
    <w:tmpl w:val="B04D8E0A"/>
    <w:lvl w:ilvl="0" w:tentative="0">
      <w:start w:val="1"/>
      <w:numFmt w:val="chineseCounting"/>
      <w:pStyle w:val="40"/>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A240A61"/>
    <w:multiLevelType w:val="singleLevel"/>
    <w:tmpl w:val="CA240A61"/>
    <w:lvl w:ilvl="0" w:tentative="0">
      <w:start w:val="1"/>
      <w:numFmt w:val="chineseCounting"/>
      <w:pStyle w:val="44"/>
      <w:suff w:val="nothing"/>
      <w:lvlText w:val="(%1)"/>
      <w:lvlJc w:val="left"/>
      <w:pPr>
        <w:ind w:left="0" w:firstLine="0"/>
      </w:pPr>
      <w:rPr>
        <w:rFonts w:hint="eastAsia"/>
      </w:rPr>
    </w:lvl>
  </w:abstractNum>
  <w:abstractNum w:abstractNumId="3">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pStyle w:val="47"/>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00000006"/>
    <w:multiLevelType w:val="multilevel"/>
    <w:tmpl w:val="00000006"/>
    <w:lvl w:ilvl="0" w:tentative="0">
      <w:start w:val="1"/>
      <w:numFmt w:val="chineseCounting"/>
      <w:suff w:val="nothing"/>
      <w:lvlText w:val="%1、"/>
      <w:lvlJc w:val="left"/>
      <w:pPr>
        <w:tabs>
          <w:tab w:val="left" w:pos="0"/>
        </w:tabs>
      </w:pPr>
      <w:rPr>
        <w:rFonts w:hint="eastAsia" w:ascii="宋体" w:hAnsi="宋体" w:eastAsia="宋体"/>
      </w:rPr>
    </w:lvl>
    <w:lvl w:ilvl="1" w:tentative="0">
      <w:start w:val="1"/>
      <w:numFmt w:val="chineseCounting"/>
      <w:suff w:val="nothing"/>
      <w:lvlText w:val="(%2)"/>
      <w:lvlJc w:val="left"/>
      <w:rPr>
        <w:rFonts w:hint="eastAsia" w:ascii="宋体" w:hAnsi="宋体" w:eastAsia="宋体"/>
      </w:rPr>
    </w:lvl>
    <w:lvl w:ilvl="2" w:tentative="0">
      <w:start w:val="1"/>
      <w:numFmt w:val="decimal"/>
      <w:pStyle w:val="46"/>
      <w:suff w:val="nothing"/>
      <w:lvlText w:val="%3."/>
      <w:lvlJc w:val="left"/>
      <w:rPr>
        <w:rFonts w:hint="eastAsia" w:ascii="宋体" w:hAnsi="宋体" w:eastAsia="宋体"/>
      </w:rPr>
    </w:lvl>
    <w:lvl w:ilvl="3" w:tentative="0">
      <w:start w:val="1"/>
      <w:numFmt w:val="decimal"/>
      <w:suff w:val="nothing"/>
      <w:lvlText w:val="%3.%4"/>
      <w:lvlJc w:val="left"/>
      <w:rPr>
        <w:rFonts w:hint="eastAsia" w:ascii="宋体" w:hAnsi="宋体" w:eastAsia="宋体"/>
      </w:rPr>
    </w:lvl>
    <w:lvl w:ilvl="4" w:tentative="0">
      <w:start w:val="1"/>
      <w:numFmt w:val="decimal"/>
      <w:suff w:val="nothing"/>
      <w:lvlText w:val="(%5)"/>
      <w:lvlJc w:val="left"/>
      <w:rPr>
        <w:rFonts w:hint="eastAsia" w:ascii="宋体" w:hAnsi="宋体" w:eastAsia="宋体"/>
      </w:rPr>
    </w:lvl>
    <w:lvl w:ilvl="5" w:tentative="0">
      <w:start w:val="1"/>
      <w:numFmt w:val="decimal"/>
      <w:suff w:val="nothing"/>
      <w:lvlText w:val="%6）"/>
      <w:lvlJc w:val="left"/>
      <w:pPr>
        <w:ind w:firstLine="402"/>
      </w:pPr>
      <w:rPr>
        <w:rFonts w:hint="eastAsia"/>
      </w:rPr>
    </w:lvl>
    <w:lvl w:ilvl="6" w:tentative="0">
      <w:start w:val="1"/>
      <w:numFmt w:val="lowerLetter"/>
      <w:suff w:val="nothing"/>
      <w:lvlText w:val="%7．"/>
      <w:lvlJc w:val="left"/>
      <w:pPr>
        <w:ind w:firstLine="402"/>
      </w:pPr>
      <w:rPr>
        <w:rFonts w:hint="eastAsia"/>
      </w:rPr>
    </w:lvl>
    <w:lvl w:ilvl="7" w:tentative="0">
      <w:start w:val="1"/>
      <w:numFmt w:val="lowerLetter"/>
      <w:suff w:val="nothing"/>
      <w:lvlText w:val="%8）"/>
      <w:lvlJc w:val="left"/>
      <w:pPr>
        <w:ind w:firstLine="402"/>
      </w:pPr>
      <w:rPr>
        <w:rFonts w:hint="eastAsia"/>
      </w:rPr>
    </w:lvl>
    <w:lvl w:ilvl="8" w:tentative="0">
      <w:start w:val="1"/>
      <w:numFmt w:val="lowerRoman"/>
      <w:suff w:val="nothing"/>
      <w:lvlText w:val="%9 "/>
      <w:lvlJc w:val="left"/>
      <w:pPr>
        <w:ind w:firstLine="402"/>
      </w:pPr>
      <w:rPr>
        <w:rFonts w:hint="eastAsia"/>
      </w:rPr>
    </w:lvl>
  </w:abstractNum>
  <w:abstractNum w:abstractNumId="5">
    <w:nsid w:val="0000000C"/>
    <w:multiLevelType w:val="multilevel"/>
    <w:tmpl w:val="0000000C"/>
    <w:lvl w:ilvl="0" w:tentative="0">
      <w:start w:val="1"/>
      <w:numFmt w:val="chineseCounting"/>
      <w:suff w:val="nothing"/>
      <w:lvlText w:val="第%1章 "/>
      <w:lvlJc w:val="left"/>
      <w:pPr>
        <w:tabs>
          <w:tab w:val="left" w:pos="0"/>
        </w:tabs>
      </w:pPr>
      <w:rPr>
        <w:rFonts w:hint="eastAsia" w:ascii="宋体" w:hAnsi="宋体" w:eastAsia="宋体"/>
      </w:rPr>
    </w:lvl>
    <w:lvl w:ilvl="1" w:tentative="0">
      <w:start w:val="1"/>
      <w:numFmt w:val="chineseCounting"/>
      <w:pStyle w:val="37"/>
      <w:lvlText w:val="（%2）"/>
      <w:lvlJc w:val="left"/>
      <w:pPr>
        <w:ind w:left="-2"/>
      </w:pPr>
      <w:rPr>
        <w:rFonts w:hint="eastAsia"/>
      </w:rPr>
    </w:lvl>
    <w:lvl w:ilvl="2" w:tentative="0">
      <w:start w:val="1"/>
      <w:numFmt w:val="chineseCounting"/>
      <w:suff w:val="nothing"/>
      <w:lvlText w:val="(%3)"/>
      <w:lvlJc w:val="left"/>
      <w:pPr>
        <w:tabs>
          <w:tab w:val="left" w:pos="0"/>
        </w:tabs>
        <w:ind w:left="163"/>
      </w:pPr>
      <w:rPr>
        <w:rFonts w:hint="eastAsia" w:ascii="宋体" w:hAnsi="宋体" w:eastAsia="宋体"/>
      </w:rPr>
    </w:lvl>
    <w:lvl w:ilvl="3" w:tentative="0">
      <w:start w:val="1"/>
      <w:numFmt w:val="decimal"/>
      <w:pStyle w:val="45"/>
      <w:suff w:val="nothing"/>
      <w:lvlText w:val="%4."/>
      <w:lvlJc w:val="left"/>
      <w:pPr>
        <w:tabs>
          <w:tab w:val="left" w:pos="0"/>
        </w:tabs>
      </w:pPr>
      <w:rPr>
        <w:rFonts w:hint="eastAsia" w:ascii="宋体" w:hAnsi="宋体" w:eastAsia="宋体"/>
      </w:rPr>
    </w:lvl>
    <w:lvl w:ilvl="4" w:tentative="0">
      <w:start w:val="1"/>
      <w:numFmt w:val="decimal"/>
      <w:suff w:val="nothing"/>
      <w:lvlText w:val="%4.%5"/>
      <w:lvlJc w:val="left"/>
      <w:rPr>
        <w:rFonts w:hint="eastAsia" w:ascii="宋体" w:hAnsi="宋体" w:eastAsia="宋体"/>
      </w:rPr>
    </w:lvl>
    <w:lvl w:ilvl="5" w:tentative="0">
      <w:start w:val="1"/>
      <w:numFmt w:val="decimal"/>
      <w:suff w:val="nothing"/>
      <w:lvlText w:val="(%6)"/>
      <w:lvlJc w:val="left"/>
      <w:rPr>
        <w:rFonts w:hint="eastAsia" w:ascii="宋体" w:hAnsi="宋体" w:eastAsia="宋体"/>
      </w:rPr>
    </w:lvl>
    <w:lvl w:ilvl="6" w:tentative="0">
      <w:start w:val="1"/>
      <w:numFmt w:val="lowerLetter"/>
      <w:suff w:val="nothing"/>
      <w:lvlText w:val="%7．"/>
      <w:lvlJc w:val="left"/>
      <w:pPr>
        <w:ind w:firstLine="402"/>
      </w:pPr>
      <w:rPr>
        <w:rFonts w:hint="eastAsia"/>
      </w:rPr>
    </w:lvl>
    <w:lvl w:ilvl="7" w:tentative="0">
      <w:start w:val="1"/>
      <w:numFmt w:val="lowerLetter"/>
      <w:suff w:val="nothing"/>
      <w:lvlText w:val="%8）"/>
      <w:lvlJc w:val="left"/>
      <w:pPr>
        <w:ind w:firstLine="402"/>
      </w:pPr>
      <w:rPr>
        <w:rFonts w:hint="eastAsia"/>
      </w:rPr>
    </w:lvl>
    <w:lvl w:ilvl="8" w:tentative="0">
      <w:start w:val="1"/>
      <w:numFmt w:val="lowerRoman"/>
      <w:suff w:val="nothing"/>
      <w:lvlText w:val="%9. "/>
      <w:lvlJc w:val="left"/>
      <w:pPr>
        <w:ind w:firstLine="402"/>
      </w:pPr>
      <w:rPr>
        <w:rFonts w:hint="eastAsia"/>
      </w:rPr>
    </w:lvl>
  </w:abstractNum>
  <w:abstractNum w:abstractNumId="6">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5"/>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7">
    <w:nsid w:val="31BE117F"/>
    <w:multiLevelType w:val="multilevel"/>
    <w:tmpl w:val="31BE117F"/>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46590053"/>
    <w:multiLevelType w:val="multilevel"/>
    <w:tmpl w:val="46590053"/>
    <w:lvl w:ilvl="0" w:tentative="0">
      <w:start w:val="1"/>
      <w:numFmt w:val="chi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B507061"/>
    <w:multiLevelType w:val="singleLevel"/>
    <w:tmpl w:val="7B507061"/>
    <w:lvl w:ilvl="0" w:tentative="0">
      <w:start w:val="1"/>
      <w:numFmt w:val="decimal"/>
      <w:suff w:val="nothing"/>
      <w:lvlText w:val="%1、"/>
      <w:lvlJc w:val="left"/>
    </w:lvl>
  </w:abstractNum>
  <w:num w:numId="1">
    <w:abstractNumId w:val="6"/>
  </w:num>
  <w:num w:numId="2">
    <w:abstractNumId w:val="8"/>
  </w:num>
  <w:num w:numId="3">
    <w:abstractNumId w:val="5"/>
  </w:num>
  <w:num w:numId="4">
    <w:abstractNumId w:val="1"/>
  </w:num>
  <w:num w:numId="5">
    <w:abstractNumId w:val="2"/>
  </w:num>
  <w:num w:numId="6">
    <w:abstractNumId w:val="4"/>
  </w:num>
  <w:num w:numId="7">
    <w:abstractNumId w:val="3"/>
  </w:num>
  <w:num w:numId="8">
    <w:abstractNumId w:val="10"/>
  </w:num>
  <w:num w:numId="9">
    <w:abstractNumId w:val="0"/>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84D"/>
    <w:rsid w:val="00046CA0"/>
    <w:rsid w:val="00DC20DF"/>
    <w:rsid w:val="012D0479"/>
    <w:rsid w:val="015974C0"/>
    <w:rsid w:val="025D4D8E"/>
    <w:rsid w:val="02B4138D"/>
    <w:rsid w:val="02E828A9"/>
    <w:rsid w:val="04287589"/>
    <w:rsid w:val="056B77C2"/>
    <w:rsid w:val="08716E9D"/>
    <w:rsid w:val="08E12275"/>
    <w:rsid w:val="09281DE8"/>
    <w:rsid w:val="09D05E45"/>
    <w:rsid w:val="09E509F9"/>
    <w:rsid w:val="0A7E3AF3"/>
    <w:rsid w:val="0AC21C32"/>
    <w:rsid w:val="0B0264D2"/>
    <w:rsid w:val="0B204BAA"/>
    <w:rsid w:val="0BD51E39"/>
    <w:rsid w:val="0D690A8B"/>
    <w:rsid w:val="0D781A8A"/>
    <w:rsid w:val="0DB241E0"/>
    <w:rsid w:val="0F6634D4"/>
    <w:rsid w:val="122C1A1E"/>
    <w:rsid w:val="159E5049"/>
    <w:rsid w:val="16223ECC"/>
    <w:rsid w:val="18CE5C46"/>
    <w:rsid w:val="18D72D4C"/>
    <w:rsid w:val="19F63AEC"/>
    <w:rsid w:val="1B6C3693"/>
    <w:rsid w:val="1B95115E"/>
    <w:rsid w:val="1C432979"/>
    <w:rsid w:val="21E32762"/>
    <w:rsid w:val="22BE6D2B"/>
    <w:rsid w:val="22EC4F11"/>
    <w:rsid w:val="22EE1374"/>
    <w:rsid w:val="240370EB"/>
    <w:rsid w:val="2482516F"/>
    <w:rsid w:val="249B7324"/>
    <w:rsid w:val="24EE69B8"/>
    <w:rsid w:val="25983863"/>
    <w:rsid w:val="25A466AC"/>
    <w:rsid w:val="270A253F"/>
    <w:rsid w:val="2758774E"/>
    <w:rsid w:val="27C31EDE"/>
    <w:rsid w:val="2A236521"/>
    <w:rsid w:val="2BC74EA2"/>
    <w:rsid w:val="2D3A16A4"/>
    <w:rsid w:val="2E0A72C8"/>
    <w:rsid w:val="2F3C1703"/>
    <w:rsid w:val="305B3E0B"/>
    <w:rsid w:val="320A5AE9"/>
    <w:rsid w:val="32342B66"/>
    <w:rsid w:val="32625925"/>
    <w:rsid w:val="336D1641"/>
    <w:rsid w:val="33D463AE"/>
    <w:rsid w:val="33DA5E7C"/>
    <w:rsid w:val="344352E2"/>
    <w:rsid w:val="34796F56"/>
    <w:rsid w:val="35CF0941"/>
    <w:rsid w:val="36BE50F4"/>
    <w:rsid w:val="37826121"/>
    <w:rsid w:val="37E961A0"/>
    <w:rsid w:val="3905700A"/>
    <w:rsid w:val="39894CD8"/>
    <w:rsid w:val="3A4818A4"/>
    <w:rsid w:val="3E0378CA"/>
    <w:rsid w:val="3E5A1BA6"/>
    <w:rsid w:val="3EDC080D"/>
    <w:rsid w:val="4070745F"/>
    <w:rsid w:val="41CD6CF7"/>
    <w:rsid w:val="41DB4DAC"/>
    <w:rsid w:val="42310E70"/>
    <w:rsid w:val="43081BD1"/>
    <w:rsid w:val="43456981"/>
    <w:rsid w:val="439B2A45"/>
    <w:rsid w:val="43A55671"/>
    <w:rsid w:val="44CF48BB"/>
    <w:rsid w:val="460D74FE"/>
    <w:rsid w:val="466B2BA2"/>
    <w:rsid w:val="466C06C8"/>
    <w:rsid w:val="476D46F8"/>
    <w:rsid w:val="47C562E2"/>
    <w:rsid w:val="49027AF5"/>
    <w:rsid w:val="499B2623"/>
    <w:rsid w:val="4AEC627C"/>
    <w:rsid w:val="4B155517"/>
    <w:rsid w:val="4CA87F80"/>
    <w:rsid w:val="4CFA6A2E"/>
    <w:rsid w:val="4D4E0B28"/>
    <w:rsid w:val="4E600B13"/>
    <w:rsid w:val="507E108F"/>
    <w:rsid w:val="51510BE7"/>
    <w:rsid w:val="51FA302C"/>
    <w:rsid w:val="531B76FE"/>
    <w:rsid w:val="531C2067"/>
    <w:rsid w:val="55943798"/>
    <w:rsid w:val="561B17C3"/>
    <w:rsid w:val="56AE2637"/>
    <w:rsid w:val="582E1C82"/>
    <w:rsid w:val="58B44286"/>
    <w:rsid w:val="58D02D39"/>
    <w:rsid w:val="59401C6C"/>
    <w:rsid w:val="59CA59DA"/>
    <w:rsid w:val="5AA61FA3"/>
    <w:rsid w:val="5B490B80"/>
    <w:rsid w:val="5BDD2F8A"/>
    <w:rsid w:val="5C1A3C8F"/>
    <w:rsid w:val="5D891708"/>
    <w:rsid w:val="5DB03139"/>
    <w:rsid w:val="5E460CAD"/>
    <w:rsid w:val="602446D4"/>
    <w:rsid w:val="61C13B66"/>
    <w:rsid w:val="620F4693"/>
    <w:rsid w:val="62E23D94"/>
    <w:rsid w:val="630261E5"/>
    <w:rsid w:val="639D3C37"/>
    <w:rsid w:val="65A155DF"/>
    <w:rsid w:val="67AB0BF9"/>
    <w:rsid w:val="69782D5D"/>
    <w:rsid w:val="69DF2DDC"/>
    <w:rsid w:val="6C3F5DB4"/>
    <w:rsid w:val="6D3F3B91"/>
    <w:rsid w:val="6E8C1058"/>
    <w:rsid w:val="700E441B"/>
    <w:rsid w:val="70425E72"/>
    <w:rsid w:val="7096180D"/>
    <w:rsid w:val="709C047E"/>
    <w:rsid w:val="71241A1C"/>
    <w:rsid w:val="71357785"/>
    <w:rsid w:val="71A5490B"/>
    <w:rsid w:val="72FB2FEF"/>
    <w:rsid w:val="731C0BFD"/>
    <w:rsid w:val="738833B6"/>
    <w:rsid w:val="73E86D31"/>
    <w:rsid w:val="743261FE"/>
    <w:rsid w:val="744B2DDA"/>
    <w:rsid w:val="74850A24"/>
    <w:rsid w:val="75BF14D2"/>
    <w:rsid w:val="75EB0D5A"/>
    <w:rsid w:val="76E557A9"/>
    <w:rsid w:val="77905715"/>
    <w:rsid w:val="78BD69DE"/>
    <w:rsid w:val="79A4194C"/>
    <w:rsid w:val="7B17584D"/>
    <w:rsid w:val="7B3A0B7D"/>
    <w:rsid w:val="7B6A5D5B"/>
    <w:rsid w:val="7DCE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lang w:val="zh-CN"/>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b/>
      <w:kern w:val="0"/>
      <w:sz w:val="32"/>
      <w:szCs w:val="32"/>
      <w:lang w:val="zh-CN"/>
    </w:rPr>
  </w:style>
  <w:style w:type="paragraph" w:styleId="5">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b/>
      <w:kern w:val="0"/>
      <w:sz w:val="28"/>
      <w:szCs w:val="28"/>
      <w:lang w:val="zh-CN"/>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eastAsia="宋体"/>
      <w:kern w:val="0"/>
      <w:sz w:val="20"/>
      <w:szCs w:val="24"/>
    </w:rPr>
  </w:style>
  <w:style w:type="paragraph" w:styleId="7">
    <w:name w:val="Body Text"/>
    <w:basedOn w:val="1"/>
    <w:qFormat/>
    <w:uiPriority w:val="0"/>
    <w:pPr>
      <w:spacing w:after="120"/>
    </w:pPr>
    <w:rPr>
      <w:rFonts w:ascii="Times New Roman" w:hAnsi="Times New Roman" w:eastAsia="宋体"/>
      <w:kern w:val="0"/>
      <w:sz w:val="20"/>
      <w:szCs w:val="24"/>
    </w:rPr>
  </w:style>
  <w:style w:type="paragraph" w:styleId="8">
    <w:name w:val="Body Text Indent"/>
    <w:basedOn w:val="1"/>
    <w:qFormat/>
    <w:uiPriority w:val="0"/>
    <w:pPr>
      <w:ind w:firstLine="630"/>
    </w:pPr>
    <w:rPr>
      <w:rFonts w:ascii="Times New Roman" w:hAnsi="Times New Roman" w:eastAsia="宋体"/>
      <w:kern w:val="0"/>
      <w:sz w:val="32"/>
      <w:szCs w:val="20"/>
    </w:rPr>
  </w:style>
  <w:style w:type="paragraph" w:styleId="9">
    <w:name w:val="Plain Text"/>
    <w:basedOn w:val="1"/>
    <w:qFormat/>
    <w:uiPriority w:val="0"/>
    <w:pPr>
      <w:autoSpaceDE w:val="0"/>
      <w:autoSpaceDN w:val="0"/>
      <w:adjustRightInd w:val="0"/>
    </w:pPr>
    <w:rPr>
      <w:rFonts w:ascii="宋体" w:hAnsi="Tms Rmn" w:eastAsia="宋体"/>
      <w:kern w:val="0"/>
      <w:sz w:val="20"/>
      <w:szCs w:val="20"/>
    </w:rPr>
  </w:style>
  <w:style w:type="paragraph" w:styleId="10">
    <w:name w:val="Body Text Indent 2"/>
    <w:basedOn w:val="1"/>
    <w:qFormat/>
    <w:uiPriority w:val="0"/>
    <w:pPr>
      <w:spacing w:after="120" w:line="480" w:lineRule="auto"/>
      <w:ind w:left="420" w:leftChars="200"/>
    </w:pPr>
    <w:rPr>
      <w:rFonts w:ascii="Times New Roman" w:hAnsi="Times New Roman" w:eastAsia="宋体"/>
      <w:kern w:val="0"/>
      <w:sz w:val="20"/>
      <w:szCs w:val="24"/>
    </w:rPr>
  </w:style>
  <w:style w:type="paragraph" w:styleId="11">
    <w:name w:val="footer"/>
    <w:basedOn w:val="1"/>
    <w:next w:val="12"/>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customStyle="1" w:styleId="12">
    <w:name w:val="vsbcontent_start"/>
    <w:basedOn w:val="1"/>
    <w:next w:val="13"/>
    <w:qFormat/>
    <w:uiPriority w:val="0"/>
    <w:pPr>
      <w:widowControl/>
      <w:tabs>
        <w:tab w:val="left" w:pos="0"/>
      </w:tabs>
      <w:jc w:val="left"/>
    </w:pPr>
    <w:rPr>
      <w:rFonts w:ascii="宋体" w:hAnsi="宋体" w:cs="宋体"/>
      <w:kern w:val="0"/>
      <w:sz w:val="24"/>
    </w:rPr>
  </w:style>
  <w:style w:type="paragraph" w:customStyle="1" w:styleId="13">
    <w:name w:val="Char Char Char1 Char8"/>
    <w:basedOn w:val="1"/>
    <w:next w:val="14"/>
    <w:unhideWhenUsed/>
    <w:qFormat/>
    <w:uiPriority w:val="99"/>
    <w:pPr>
      <w:tabs>
        <w:tab w:val="left" w:pos="0"/>
      </w:tabs>
      <w:autoSpaceDE w:val="0"/>
      <w:autoSpaceDN w:val="0"/>
      <w:spacing w:line="360" w:lineRule="auto"/>
    </w:pPr>
    <w:rPr>
      <w:rFonts w:hint="eastAsia" w:ascii="宋体" w:hAnsi="宋体"/>
      <w:sz w:val="24"/>
    </w:rPr>
  </w:style>
  <w:style w:type="paragraph" w:customStyle="1" w:styleId="14">
    <w:name w:val="Char Char Char1 Char1"/>
    <w:basedOn w:val="1"/>
    <w:unhideWhenUsed/>
    <w:qFormat/>
    <w:uiPriority w:val="99"/>
    <w:pPr>
      <w:tabs>
        <w:tab w:val="left" w:pos="0"/>
      </w:tabs>
      <w:spacing w:line="360" w:lineRule="auto"/>
      <w:ind w:firstLine="200" w:firstLineChars="200"/>
    </w:pPr>
    <w:rPr>
      <w:rFonts w:hint="eastAsia" w:ascii="宋体" w:hAnsi="宋体"/>
      <w:sz w:val="24"/>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16">
    <w:name w:val="toc 1"/>
    <w:basedOn w:val="1"/>
    <w:next w:val="1"/>
    <w:unhideWhenUsed/>
    <w:qFormat/>
    <w:uiPriority w:val="39"/>
    <w:pPr>
      <w:tabs>
        <w:tab w:val="right" w:leader="dot" w:pos="8637"/>
      </w:tabs>
      <w:spacing w:line="276" w:lineRule="auto"/>
    </w:pPr>
    <w:rPr>
      <w:rFonts w:eastAsia="华文宋体"/>
      <w:b/>
      <w:sz w:val="24"/>
    </w:rPr>
  </w:style>
  <w:style w:type="paragraph" w:styleId="17">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styleId="18">
    <w:name w:val="Body Text First Indent"/>
    <w:basedOn w:val="7"/>
    <w:unhideWhenUsed/>
    <w:qFormat/>
    <w:uiPriority w:val="99"/>
    <w:pPr>
      <w:ind w:firstLine="420" w:firstLineChars="100"/>
    </w:pPr>
  </w:style>
  <w:style w:type="paragraph" w:styleId="19">
    <w:name w:val="Body Text First Indent 2"/>
    <w:basedOn w:val="8"/>
    <w:qFormat/>
    <w:uiPriority w:val="0"/>
    <w:pPr>
      <w:tabs>
        <w:tab w:val="left" w:pos="0"/>
      </w:tabs>
      <w:spacing w:after="120"/>
      <w:ind w:left="420" w:leftChars="200" w:firstLine="420" w:firstLineChars="200"/>
    </w:pPr>
    <w:rPr>
      <w:rFonts w:ascii="Calibri" w:hAnsi="Calibri"/>
      <w:kern w:val="2"/>
      <w:sz w:val="21"/>
      <w:szCs w:val="22"/>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Default"/>
    <w:basedOn w:val="1"/>
    <w:qFormat/>
    <w:uiPriority w:val="0"/>
    <w:pPr>
      <w:autoSpaceDE w:val="0"/>
      <w:autoSpaceDN w:val="0"/>
      <w:adjustRightInd w:val="0"/>
      <w:jc w:val="left"/>
    </w:pPr>
    <w:rPr>
      <w:rFonts w:hint="eastAsia" w:ascii="宋体" w:hAnsi="Calibri" w:eastAsia="宋体" w:cs="Times New Roman"/>
      <w:color w:val="000000"/>
      <w:kern w:val="0"/>
      <w:sz w:val="24"/>
      <w:szCs w:val="24"/>
    </w:rPr>
  </w:style>
  <w:style w:type="paragraph" w:customStyle="1" w:styleId="24">
    <w:name w:val="标题 5（有编号）（绿盟科技）"/>
    <w:basedOn w:val="1"/>
    <w:next w:val="25"/>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Normal"/>
    <w:qFormat/>
    <w:uiPriority w:val="0"/>
    <w:pPr>
      <w:widowControl w:val="0"/>
      <w:adjustRightInd w:val="0"/>
      <w:spacing w:line="312" w:lineRule="atLeast"/>
      <w:jc w:val="both"/>
      <w:textAlignment w:val="baseline"/>
    </w:pPr>
    <w:rPr>
      <w:rFonts w:ascii="宋体" w:hAnsi="等线" w:eastAsia="等线" w:cs="Times New Roman"/>
      <w:sz w:val="34"/>
      <w:lang w:val="en-US" w:eastAsia="zh-CN" w:bidi="ar-SA"/>
    </w:rPr>
  </w:style>
  <w:style w:type="paragraph" w:customStyle="1" w:styleId="29">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30">
    <w:name w:val="List Paragraph"/>
    <w:basedOn w:val="1"/>
    <w:qFormat/>
    <w:uiPriority w:val="34"/>
    <w:pPr>
      <w:ind w:firstLine="420" w:firstLineChars="200"/>
    </w:pPr>
    <w:rPr>
      <w:rFonts w:ascii="Times New Roman" w:hAnsi="Times New Roman" w:eastAsia="宋体"/>
      <w:szCs w:val="24"/>
    </w:rPr>
  </w:style>
  <w:style w:type="paragraph" w:customStyle="1" w:styleId="3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2">
    <w:name w:val="！正文"/>
    <w:basedOn w:val="1"/>
    <w:qFormat/>
    <w:uiPriority w:val="0"/>
    <w:pPr>
      <w:spacing w:line="360" w:lineRule="auto"/>
      <w:ind w:firstLine="200" w:firstLineChars="200"/>
    </w:pPr>
    <w:rPr>
      <w:rFonts w:ascii="华文细黑" w:hAnsi="华文细黑" w:eastAsia="华文细黑" w:cs="Times New Roman"/>
      <w:kern w:val="0"/>
      <w:sz w:val="24"/>
      <w:szCs w:val="24"/>
    </w:rPr>
  </w:style>
  <w:style w:type="character" w:customStyle="1" w:styleId="33">
    <w:name w:val="标题 2 字符"/>
    <w:semiHidden/>
    <w:qFormat/>
    <w:uiPriority w:val="9"/>
    <w:rPr>
      <w:rFonts w:ascii="等线 Light" w:hAnsi="等线 Light" w:eastAsia="等线 Light" w:cs="Times New Roman"/>
      <w:b/>
      <w:bCs/>
      <w:sz w:val="32"/>
      <w:szCs w:val="32"/>
    </w:rPr>
  </w:style>
  <w:style w:type="paragraph" w:customStyle="1" w:styleId="34">
    <w:name w:val="CD正文"/>
    <w:basedOn w:val="1"/>
    <w:qFormat/>
    <w:uiPriority w:val="0"/>
    <w:pPr>
      <w:spacing w:line="360" w:lineRule="auto"/>
      <w:ind w:firstLine="493"/>
    </w:pPr>
    <w:rPr>
      <w:rFonts w:ascii="Times New Roman" w:hAnsi="Times New Roman" w:eastAsia="宋体" w:cs="Times New Roman"/>
      <w:sz w:val="30"/>
      <w:szCs w:val="28"/>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样式2"/>
    <w:basedOn w:val="30"/>
    <w:qFormat/>
    <w:uiPriority w:val="0"/>
    <w:pPr>
      <w:keepLines/>
      <w:spacing w:before="240" w:after="120" w:line="360" w:lineRule="auto"/>
      <w:ind w:firstLine="0" w:firstLineChars="0"/>
      <w:contextualSpacing/>
      <w:outlineLvl w:val="1"/>
    </w:pPr>
    <w:rPr>
      <w:rFonts w:ascii="黑体" w:hAnsi="黑体" w:eastAsia="黑体"/>
      <w:sz w:val="32"/>
      <w:szCs w:val="36"/>
      <w:lang w:eastAsia="en-US" w:bidi="en-US"/>
    </w:rPr>
  </w:style>
  <w:style w:type="paragraph" w:customStyle="1" w:styleId="37">
    <w:name w:val="15、“一、”二级标题"/>
    <w:basedOn w:val="1"/>
    <w:qFormat/>
    <w:uiPriority w:val="0"/>
    <w:pPr>
      <w:numPr>
        <w:ilvl w:val="1"/>
        <w:numId w:val="3"/>
      </w:numPr>
      <w:wordWrap w:val="0"/>
      <w:topLinePunct/>
      <w:outlineLvl w:val="1"/>
    </w:pPr>
    <w:rPr>
      <w:b/>
    </w:rPr>
  </w:style>
  <w:style w:type="paragraph" w:customStyle="1" w:styleId="38">
    <w:name w:val="01、普通正文"/>
    <w:basedOn w:val="1"/>
    <w:qFormat/>
    <w:uiPriority w:val="0"/>
    <w:pPr>
      <w:tabs>
        <w:tab w:val="left" w:pos="0"/>
      </w:tabs>
      <w:wordWrap w:val="0"/>
      <w:topLinePunct/>
    </w:pPr>
    <w:rPr>
      <w:rFonts w:ascii="宋体" w:hAnsi="宋体" w:eastAsia="宋体"/>
      <w:snapToGrid w:val="0"/>
    </w:rPr>
  </w:style>
  <w:style w:type="paragraph" w:customStyle="1" w:styleId="39">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40">
    <w:name w:val="14、“第一章”一级标题"/>
    <w:basedOn w:val="38"/>
    <w:qFormat/>
    <w:uiPriority w:val="0"/>
    <w:pPr>
      <w:numPr>
        <w:ilvl w:val="0"/>
        <w:numId w:val="4"/>
      </w:numPr>
      <w:spacing w:before="50" w:beforeLines="50" w:after="50" w:afterLines="50" w:line="240" w:lineRule="auto"/>
      <w:jc w:val="center"/>
      <w:outlineLvl w:val="0"/>
    </w:pPr>
    <w:rPr>
      <w:b/>
      <w:sz w:val="36"/>
    </w:rPr>
  </w:style>
  <w:style w:type="paragraph" w:customStyle="1" w:styleId="41">
    <w:name w:val="null3"/>
    <w:qFormat/>
    <w:uiPriority w:val="0"/>
    <w:rPr>
      <w:rFonts w:hint="eastAsia" w:ascii="Calibri" w:hAnsi="Calibri" w:eastAsia="宋体" w:cs="Times New Roman"/>
      <w:lang w:val="en-US" w:eastAsia="zh-Hans"/>
    </w:rPr>
  </w:style>
  <w:style w:type="paragraph" w:customStyle="1" w:styleId="42">
    <w:name w:val="00、封面正文(与其他内容无关的格式)"/>
    <w:basedOn w:val="1"/>
    <w:qFormat/>
    <w:uiPriority w:val="0"/>
    <w:pPr>
      <w:tabs>
        <w:tab w:val="left" w:pos="0"/>
      </w:tabs>
    </w:pPr>
  </w:style>
  <w:style w:type="paragraph" w:customStyle="1" w:styleId="43">
    <w:name w:val="03、“注：”正文(加粗，首行缩进2字符)"/>
    <w:basedOn w:val="38"/>
    <w:qFormat/>
    <w:uiPriority w:val="0"/>
    <w:pPr>
      <w:ind w:firstLine="480" w:firstLineChars="200"/>
    </w:pPr>
    <w:rPr>
      <w:b/>
    </w:rPr>
  </w:style>
  <w:style w:type="paragraph" w:customStyle="1" w:styleId="44">
    <w:name w:val="20、第五章“(一)”三级标题"/>
    <w:basedOn w:val="38"/>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45">
    <w:name w:val="17“1.”四级标题"/>
    <w:basedOn w:val="39"/>
    <w:qFormat/>
    <w:uiPriority w:val="0"/>
    <w:pPr>
      <w:numPr>
        <w:ilvl w:val="3"/>
        <w:numId w:val="3"/>
      </w:numPr>
      <w:ind w:firstLine="803"/>
    </w:pPr>
  </w:style>
  <w:style w:type="paragraph" w:customStyle="1" w:styleId="46">
    <w:name w:val="06、“1.”正文四级标题"/>
    <w:basedOn w:val="1"/>
    <w:qFormat/>
    <w:uiPriority w:val="0"/>
    <w:pPr>
      <w:numPr>
        <w:ilvl w:val="2"/>
        <w:numId w:val="6"/>
      </w:numPr>
      <w:tabs>
        <w:tab w:val="left" w:pos="0"/>
      </w:tabs>
      <w:wordWrap w:val="0"/>
      <w:topLinePunct/>
      <w:ind w:firstLine="803" w:firstLineChars="200"/>
    </w:pPr>
    <w:rPr>
      <w:rFonts w:ascii="宋体" w:hAnsi="宋体" w:eastAsia="宋体"/>
      <w:snapToGrid w:val="0"/>
    </w:rPr>
  </w:style>
  <w:style w:type="paragraph" w:customStyle="1" w:styleId="47">
    <w:name w:val="07、“1.1”正文五级标题"/>
    <w:basedOn w:val="1"/>
    <w:qFormat/>
    <w:uiPriority w:val="0"/>
    <w:pPr>
      <w:numPr>
        <w:ilvl w:val="3"/>
        <w:numId w:val="7"/>
      </w:numPr>
      <w:tabs>
        <w:tab w:val="left" w:pos="0"/>
      </w:tabs>
      <w:ind w:firstLine="803" w:firstLineChars="200"/>
    </w:pPr>
    <w:rPr>
      <w:rFonts w:ascii="宋体" w:hAnsi="宋体" w:eastAsia="宋体"/>
    </w:rPr>
  </w:style>
  <w:style w:type="paragraph" w:customStyle="1" w:styleId="48">
    <w:name w:val="13、表格内居中正文"/>
    <w:basedOn w:val="1"/>
    <w:qFormat/>
    <w:uiPriority w:val="0"/>
    <w:pPr>
      <w:tabs>
        <w:tab w:val="left" w:pos="0"/>
      </w:tabs>
      <w:wordWrap w:val="0"/>
      <w:topLinePunct/>
      <w:spacing w:line="360" w:lineRule="exact"/>
      <w:jc w:val="center"/>
    </w:pPr>
    <w:rPr>
      <w:rFonts w:ascii="宋体" w:hAnsi="宋体"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3786</Words>
  <Characters>4069</Characters>
  <Lines>0</Lines>
  <Paragraphs>0</Paragraphs>
  <TotalTime>1</TotalTime>
  <ScaleCrop>false</ScaleCrop>
  <LinksUpToDate>false</LinksUpToDate>
  <CharactersWithSpaces>4155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2025-06-03T01:00:00Z</dcterms:created>
  <dc:creator>zhdfor</dc:creator>
  <cp:lastModifiedBy>Blue</cp:lastModifiedBy>
  <dcterms:modified xsi:type="dcterms:W3CDTF">2025-07-28T06:18:38Z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A6D9E4AB2E19435FADFA0E77C342E14E_13</vt:lpwstr>
  </property>
  <property fmtid="{D5CDD505-2E9C-101B-9397-08002B2CF9AE}" pid="4" name="KSOTemplateDocerSaveRecord">
    <vt:lpwstr>eyJoZGlkIjoiNGNkOWI0Y2FhNjIyNTc4MzZjZGFkY2ZmZGY2NTM4MjYiLCJ1c2VySWQiOiIyNjk2NDYxOTkifQ==</vt:lpwstr>
  </property>
</Properties>
</file>