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1CD51DA7">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0" w:name="_Toc31705"/>
      <w:r>
        <w:rPr>
          <w:rFonts w:hint="eastAsia" w:ascii="方正小标宋简体" w:hAnsi="黑体" w:eastAsia="方正小标宋简体" w:cs="黑体"/>
          <w:b w:val="0"/>
          <w:bCs/>
          <w:sz w:val="44"/>
          <w:szCs w:val="44"/>
        </w:rPr>
        <w:t>汉源县中医医院</w:t>
      </w:r>
    </w:p>
    <w:p w14:paraId="05C0B54F">
      <w:pPr>
        <w:pStyle w:val="37"/>
        <w:numPr>
          <w:ilvl w:val="0"/>
          <w:numId w:val="0"/>
        </w:numPr>
        <w:jc w:val="center"/>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辅料、包材配送服务</w:t>
      </w:r>
      <w:r>
        <w:rPr>
          <w:rFonts w:hint="eastAsia" w:ascii="方正小标宋简体" w:hAnsi="黑体" w:eastAsia="方正小标宋简体" w:cs="黑体"/>
          <w:b w:val="0"/>
          <w:bCs/>
          <w:sz w:val="44"/>
          <w:szCs w:val="44"/>
        </w:rPr>
        <w:t>项目</w:t>
      </w:r>
      <w:bookmarkEnd w:id="0"/>
      <w:r>
        <w:rPr>
          <w:rFonts w:hint="eastAsia" w:ascii="方正小标宋简体" w:hAnsi="黑体" w:eastAsia="方正小标宋简体" w:cs="黑体"/>
          <w:b w:val="0"/>
          <w:bCs/>
          <w:sz w:val="44"/>
          <w:szCs w:val="44"/>
          <w:lang w:eastAsia="zh-CN"/>
        </w:rPr>
        <w:t>（三次）</w:t>
      </w:r>
    </w:p>
    <w:p w14:paraId="363D66CD">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both"/>
        <w:textAlignment w:val="auto"/>
        <w:outlineLvl w:val="0"/>
        <w:rPr>
          <w:rFonts w:hint="eastAsia" w:ascii="方正小标宋简体" w:hAnsi="黑体" w:eastAsia="方正小标宋简体" w:cs="黑体"/>
          <w:b w:val="0"/>
          <w:bCs/>
          <w:sz w:val="44"/>
          <w:szCs w:val="44"/>
        </w:rPr>
      </w:pPr>
    </w:p>
    <w:p w14:paraId="4D33D205">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1" w:name="_Toc5729"/>
      <w:r>
        <w:rPr>
          <w:rFonts w:hint="eastAsia" w:ascii="方正小标宋简体" w:hAnsi="黑体" w:eastAsia="方正小标宋简体" w:cs="黑体"/>
          <w:b w:val="0"/>
          <w:bCs/>
          <w:sz w:val="44"/>
          <w:szCs w:val="44"/>
        </w:rPr>
        <w:t>竞争性磋商文件</w:t>
      </w:r>
      <w:bookmarkEnd w:id="1"/>
    </w:p>
    <w:p w14:paraId="543AA369">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r>
        <w:rPr>
          <w:rFonts w:hint="eastAsia" w:ascii="方正小标宋简体" w:hAnsi="黑体" w:eastAsia="方正小标宋简体" w:cs="黑体"/>
          <w:b w:val="0"/>
          <w:bCs/>
          <w:kern w:val="2"/>
          <w:sz w:val="44"/>
          <w:szCs w:val="44"/>
          <w:lang w:val="en-US" w:eastAsia="zh-CN" w:bidi="ar-SA"/>
        </w:rPr>
        <w:t>（服务类）</w:t>
      </w:r>
    </w:p>
    <w:p w14:paraId="72EA5B83">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p>
    <w:p w14:paraId="1B57DFD0">
      <w:pPr>
        <w:widowControl/>
        <w:shd w:val="clear" w:color="auto" w:fill="FFFFFF"/>
        <w:tabs>
          <w:tab w:val="left" w:pos="0"/>
        </w:tabs>
        <w:snapToGrid/>
        <w:spacing w:line="560" w:lineRule="exact"/>
        <w:rPr>
          <w:rFonts w:ascii="Arial" w:hAnsi="Arial" w:cs="Arial"/>
          <w:color w:val="000000"/>
        </w:rPr>
      </w:pPr>
    </w:p>
    <w:p w14:paraId="0A9299A1">
      <w:pPr>
        <w:tabs>
          <w:tab w:val="left" w:pos="0"/>
        </w:tabs>
        <w:snapToGrid/>
        <w:spacing w:line="560" w:lineRule="exact"/>
        <w:jc w:val="center"/>
        <w:rPr>
          <w:rFonts w:hint="default" w:ascii="方正小标宋简体" w:hAnsi="黑体" w:eastAsia="方正小标宋简体" w:cs="黑体"/>
          <w:b w:val="0"/>
          <w:bCs/>
          <w:kern w:val="2"/>
          <w:sz w:val="28"/>
          <w:szCs w:val="28"/>
          <w:lang w:val="en-US" w:eastAsia="zh-CN" w:bidi="ar-SA"/>
        </w:rPr>
      </w:pPr>
      <w:r>
        <w:rPr>
          <w:rFonts w:hint="eastAsia" w:ascii="方正小标宋简体" w:hAnsi="黑体" w:eastAsia="方正小标宋简体" w:cs="黑体"/>
          <w:b w:val="0"/>
          <w:bCs/>
          <w:kern w:val="2"/>
          <w:sz w:val="28"/>
          <w:szCs w:val="28"/>
          <w:lang w:val="en-US" w:eastAsia="zh-CN" w:bidi="ar-SA"/>
        </w:rPr>
        <w:t>项目编号：汉中医（竞争性磋商）CG20250703</w:t>
      </w: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4EE414E8">
      <w:pPr>
        <w:pStyle w:val="7"/>
        <w:tabs>
          <w:tab w:val="left" w:pos="0"/>
        </w:tabs>
        <w:snapToGrid/>
        <w:spacing w:line="560" w:lineRule="exact"/>
        <w:jc w:val="both"/>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27</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bookmarkStart w:id="5" w:name="_Toc213396945"/>
      <w:bookmarkStart w:id="6" w:name="_Toc213496267"/>
      <w:bookmarkStart w:id="7" w:name="_Toc36562443"/>
      <w:bookmarkStart w:id="8" w:name="_Toc213397009"/>
      <w:bookmarkStart w:id="9" w:name="_Toc217446031"/>
      <w:bookmarkStart w:id="10" w:name="_Toc213396759"/>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汉源县中医医院辅料、包材配送服务项目（三次）</w:t>
      </w:r>
    </w:p>
    <w:p w14:paraId="053A0239">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703</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3FBE00C1">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1:无预算，据实结算</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辅料、包材配送服务供应商，为医院提供配送服务，本项目共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A80C379">
      <w:pPr>
        <w:tabs>
          <w:tab w:val="left" w:pos="0"/>
        </w:tabs>
        <w:snapToGrid w:val="0"/>
        <w:spacing w:line="312" w:lineRule="auto"/>
        <w:ind w:firstLine="482" w:firstLineChars="200"/>
        <w:rPr>
          <w:rFonts w:hint="eastAsia" w:ascii="仿宋" w:hAnsi="仿宋" w:eastAsia="仿宋" w:cs="仿宋"/>
          <w:b/>
          <w:bCs/>
          <w:color w:val="auto"/>
          <w:sz w:val="24"/>
          <w:highlight w:val="none"/>
        </w:rPr>
      </w:pPr>
      <w:bookmarkStart w:id="11" w:name="_Toc8065"/>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145921C2">
      <w:pPr>
        <w:tabs>
          <w:tab w:val="left" w:pos="0"/>
        </w:tabs>
        <w:wordWrap w:val="0"/>
        <w:snapToGrid w:val="0"/>
        <w:spacing w:line="312"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589E7BC5">
      <w:pPr>
        <w:pStyle w:val="38"/>
        <w:numPr>
          <w:ilvl w:val="0"/>
          <w:numId w:val="0"/>
        </w:numPr>
        <w:spacing w:line="410" w:lineRule="exact"/>
        <w:ind w:left="480" w:leftChars="0"/>
        <w:rPr>
          <w:rFonts w:hint="eastAsia"/>
          <w:b/>
          <w:bCs/>
        </w:rPr>
      </w:pPr>
      <w:r>
        <w:rPr>
          <w:rFonts w:hint="eastAsia"/>
          <w:b/>
          <w:bCs/>
          <w:lang w:eastAsia="zh-CN"/>
        </w:rPr>
        <w:t>五、</w:t>
      </w:r>
      <w:r>
        <w:rPr>
          <w:rFonts w:hint="eastAsia"/>
          <w:b/>
          <w:bCs/>
        </w:rPr>
        <w:t>合格供应商应具备的资格条件：</w:t>
      </w:r>
    </w:p>
    <w:p w14:paraId="2948F533">
      <w:pPr>
        <w:pStyle w:val="42"/>
        <w:spacing w:line="41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zh-CN" w:eastAsia="zh-CN" w:bidi="ar-SA"/>
        </w:rPr>
        <w:t>符合《中华人民共和国政府采购法》第二十二条规定的条件：</w:t>
      </w:r>
    </w:p>
    <w:p w14:paraId="0EE78C82">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1.具有独立承担</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"http://www.lawtime.cn/info/minfa/mszeren/"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民事责任</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的能力；</w:t>
      </w:r>
    </w:p>
    <w:p w14:paraId="67F770F7">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2.具有良好的商业信誉和健全的财务会计制度；</w:t>
      </w:r>
    </w:p>
    <w:p w14:paraId="3A1D3C8E">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3.具有履行合同所必需的设备和专业技术能力；</w:t>
      </w:r>
    </w:p>
    <w:p w14:paraId="0AC6A389">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4.有依法缴纳税收和</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"http://www.lawtime.cn/info/laodong/shehuibaozhang/"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社会保障</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资金的良好记录；</w:t>
      </w:r>
    </w:p>
    <w:p w14:paraId="4571EA38">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5.参加政府采购活动前三年内，在经营活动中没有重大违法记录；</w:t>
      </w:r>
    </w:p>
    <w:p w14:paraId="62C75BEB">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6.法律、</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"http://www.lawtime.cn/info/sifakaoshi/xingzhengfa/"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行政法</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规规定的其他条件；</w:t>
      </w:r>
    </w:p>
    <w:p w14:paraId="020BDB4A">
      <w:pPr>
        <w:tabs>
          <w:tab w:val="left" w:pos="0"/>
        </w:tabs>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063D2C35">
      <w:pPr>
        <w:tabs>
          <w:tab w:val="left" w:pos="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4B36BE">
      <w:pPr>
        <w:tabs>
          <w:tab w:val="left" w:pos="0"/>
        </w:tabs>
        <w:snapToGrid w:val="0"/>
        <w:spacing w:line="312" w:lineRule="auto"/>
        <w:ind w:firstLine="480" w:firstLineChars="200"/>
        <w:rPr>
          <w:rFonts w:hint="eastAsia"/>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569DB0A8">
      <w:pPr>
        <w:pStyle w:val="39"/>
        <w:spacing w:line="420" w:lineRule="exact"/>
        <w:ind w:firstLine="482"/>
        <w:rPr>
          <w:rFonts w:hint="eastAsia"/>
          <w:b/>
          <w:bCs/>
        </w:rPr>
      </w:pPr>
      <w:r>
        <w:rPr>
          <w:rFonts w:hint="eastAsia"/>
          <w:b/>
          <w:bCs/>
          <w:lang w:eastAsia="zh-CN"/>
        </w:rPr>
        <w:t>七</w:t>
      </w:r>
      <w:r>
        <w:rPr>
          <w:rFonts w:hint="eastAsia"/>
          <w:b/>
          <w:bCs/>
        </w:rPr>
        <w:t>、获取磋商文件的时间期限、地点、方式</w:t>
      </w:r>
    </w:p>
    <w:p w14:paraId="6589C7BF">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21B1D604">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4636855D">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69F80D57">
      <w:pPr>
        <w:pStyle w:val="39"/>
        <w:numPr>
          <w:ilvl w:val="0"/>
          <w:numId w:val="0"/>
        </w:numPr>
        <w:spacing w:line="560" w:lineRule="exact"/>
        <w:ind w:firstLine="482" w:firstLineChars="200"/>
        <w:rPr>
          <w:rFonts w:hint="eastAsia" w:ascii="宋体" w:hAnsi="宋体" w:eastAsia="宋体" w:cs="Times New Roman"/>
          <w:bCs/>
          <w:snapToGrid w:val="0"/>
          <w:kern w:val="2"/>
          <w:sz w:val="24"/>
          <w:lang w:val="en-US" w:eastAsia="zh-CN" w:bidi="ar-SA"/>
        </w:rPr>
      </w:pPr>
      <w:r>
        <w:rPr>
          <w:rFonts w:hint="eastAsia" w:ascii="宋体" w:hAnsi="宋体" w:eastAsia="宋体" w:cs="Times New Roman"/>
          <w:b/>
          <w:bCs/>
          <w:snapToGrid w:val="0"/>
          <w:kern w:val="2"/>
          <w:sz w:val="24"/>
          <w:highlight w:val="none"/>
          <w:lang w:val="en-US" w:eastAsia="zh-CN" w:bidi="ar-SA"/>
        </w:rPr>
        <w:t>八、报名方式</w:t>
      </w:r>
      <w:r>
        <w:rPr>
          <w:rFonts w:hint="eastAsia" w:ascii="宋体" w:hAnsi="宋体" w:eastAsia="宋体" w:cs="Times New Roman"/>
          <w:snapToGrid w:val="0"/>
          <w:kern w:val="2"/>
          <w:sz w:val="24"/>
          <w:highlight w:val="none"/>
          <w:lang w:val="en-US" w:eastAsia="zh-CN" w:bidi="ar-SA"/>
        </w:rPr>
        <w:t>：</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77FDA22E">
      <w:pPr>
        <w:pStyle w:val="38"/>
        <w:spacing w:line="560" w:lineRule="exact"/>
        <w:ind w:firstLine="422" w:firstLineChars="200"/>
        <w:rPr>
          <w:rFonts w:hint="eastAsia"/>
          <w:b/>
          <w:bCs/>
          <w:highlight w:val="none"/>
        </w:rPr>
      </w:pPr>
      <w:r>
        <w:rPr>
          <w:rFonts w:hint="eastAsia"/>
          <w:b/>
          <w:bCs/>
          <w:highlight w:val="none"/>
          <w:lang w:eastAsia="zh-CN"/>
        </w:rPr>
        <w:t>九</w:t>
      </w:r>
      <w:r>
        <w:rPr>
          <w:rFonts w:hint="eastAsia"/>
          <w:b/>
          <w:bCs/>
          <w:highlight w:val="none"/>
        </w:rPr>
        <w:t>、磋商时间</w:t>
      </w:r>
      <w:r>
        <w:rPr>
          <w:rFonts w:hint="eastAsia"/>
          <w:b/>
          <w:bCs/>
          <w:highlight w:val="none"/>
          <w:lang w:eastAsia="zh-CN"/>
        </w:rPr>
        <w:t>：</w:t>
      </w:r>
      <w:r>
        <w:rPr>
          <w:rFonts w:hint="eastAsia" w:ascii="宋体" w:hAnsi="宋体" w:eastAsia="宋体" w:cs="Times New Roman"/>
          <w:b/>
          <w:bCs/>
          <w:color w:val="000000"/>
          <w:highlight w:val="none"/>
        </w:rPr>
        <w:t>202</w:t>
      </w:r>
      <w:r>
        <w:rPr>
          <w:rFonts w:hint="eastAsia" w:ascii="宋体" w:hAnsi="宋体" w:eastAsia="宋体" w:cs="Times New Roman"/>
          <w:b/>
          <w:bCs/>
          <w:color w:val="000000"/>
          <w:highlight w:val="none"/>
          <w:lang w:val="en-US" w:eastAsia="zh-CN"/>
        </w:rPr>
        <w:t>5</w:t>
      </w:r>
      <w:r>
        <w:rPr>
          <w:rFonts w:hint="eastAsia" w:ascii="宋体" w:hAnsi="宋体" w:eastAsia="宋体" w:cs="Times New Roman"/>
          <w:b/>
          <w:bCs/>
          <w:color w:val="000000"/>
          <w:highlight w:val="none"/>
        </w:rPr>
        <w:t>年</w:t>
      </w:r>
      <w:r>
        <w:rPr>
          <w:rFonts w:hint="eastAsia" w:ascii="宋体" w:hAnsi="宋体" w:eastAsia="宋体" w:cs="Times New Roman"/>
          <w:b/>
          <w:bCs/>
          <w:color w:val="000000"/>
          <w:highlight w:val="none"/>
          <w:lang w:val="en-US" w:eastAsia="zh-CN"/>
        </w:rPr>
        <w:t>8</w:t>
      </w:r>
      <w:r>
        <w:rPr>
          <w:rFonts w:hint="eastAsia" w:ascii="宋体" w:hAnsi="宋体" w:eastAsia="宋体" w:cs="Times New Roman"/>
          <w:b/>
          <w:bCs/>
          <w:color w:val="000000"/>
          <w:highlight w:val="none"/>
        </w:rPr>
        <w:t>月</w:t>
      </w:r>
      <w:r>
        <w:rPr>
          <w:rFonts w:hint="eastAsia" w:cs="Times New Roman"/>
          <w:b/>
          <w:bCs/>
          <w:color w:val="000000"/>
          <w:highlight w:val="none"/>
          <w:lang w:val="en-US" w:eastAsia="zh-CN"/>
        </w:rPr>
        <w:t>26</w:t>
      </w:r>
      <w:bookmarkStart w:id="186" w:name="_GoBack"/>
      <w:bookmarkEnd w:id="186"/>
      <w:r>
        <w:rPr>
          <w:rFonts w:hint="eastAsia" w:ascii="宋体" w:hAnsi="宋体" w:eastAsia="宋体" w:cs="Times New Roman"/>
          <w:b/>
          <w:bCs/>
          <w:color w:val="000000"/>
          <w:highlight w:val="none"/>
        </w:rPr>
        <w:t>日9时30分</w:t>
      </w:r>
      <w:r>
        <w:rPr>
          <w:rFonts w:hint="eastAsia"/>
          <w:b/>
          <w:bCs/>
          <w:highlight w:val="none"/>
        </w:rPr>
        <w:t>(北京时间)。</w:t>
      </w:r>
    </w:p>
    <w:p w14:paraId="0AD4C5F6">
      <w:pPr>
        <w:pStyle w:val="38"/>
        <w:spacing w:line="520" w:lineRule="exact"/>
        <w:ind w:firstLine="422" w:firstLineChars="200"/>
        <w:rPr>
          <w:rFonts w:hint="eastAsia"/>
          <w:b/>
          <w:bCs/>
        </w:rPr>
      </w:pPr>
      <w:r>
        <w:rPr>
          <w:rFonts w:hint="eastAsia"/>
          <w:b/>
          <w:bCs/>
          <w:lang w:eastAsia="zh-CN"/>
        </w:rPr>
        <w:t>十、</w:t>
      </w:r>
      <w:r>
        <w:rPr>
          <w:rFonts w:hint="eastAsia"/>
          <w:b/>
          <w:bCs/>
        </w:rPr>
        <w:t>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31AC8DC9">
      <w:pPr>
        <w:pStyle w:val="38"/>
        <w:numPr>
          <w:ilvl w:val="0"/>
          <w:numId w:val="0"/>
        </w:numPr>
        <w:spacing w:line="520" w:lineRule="exact"/>
        <w:ind w:left="480" w:leftChars="0"/>
        <w:rPr>
          <w:rFonts w:hint="eastAsia"/>
        </w:rPr>
      </w:pPr>
      <w:r>
        <w:rPr>
          <w:rFonts w:hint="eastAsia"/>
          <w:b/>
          <w:bCs/>
          <w:lang w:eastAsia="zh-CN"/>
        </w:rPr>
        <w:t>十一、</w:t>
      </w:r>
      <w:r>
        <w:rPr>
          <w:rFonts w:hint="eastAsia"/>
          <w:b/>
          <w:bCs/>
        </w:rPr>
        <w:t>采购信息发布媒体：</w:t>
      </w:r>
      <w:r>
        <w:rPr>
          <w:rFonts w:hint="eastAsia"/>
        </w:rPr>
        <w:t>“汉源县中医医院官方网站”。</w:t>
      </w:r>
    </w:p>
    <w:p w14:paraId="55A71EBB">
      <w:pPr>
        <w:pStyle w:val="38"/>
        <w:spacing w:line="520" w:lineRule="exact"/>
        <w:ind w:firstLine="422" w:firstLineChars="200"/>
        <w:rPr>
          <w:rFonts w:hint="eastAsia" w:ascii="仿宋" w:hAnsi="仿宋" w:eastAsia="仿宋" w:cs="仿宋"/>
          <w:b/>
          <w:bCs/>
          <w:snapToGrid/>
          <w:color w:val="auto"/>
          <w:kern w:val="2"/>
          <w:sz w:val="24"/>
          <w:szCs w:val="22"/>
          <w:highlight w:val="none"/>
          <w:lang w:val="en-US" w:eastAsia="zh-CN" w:bidi="ar-SA"/>
        </w:rPr>
      </w:pPr>
      <w:r>
        <w:rPr>
          <w:rFonts w:hint="eastAsia"/>
          <w:b/>
          <w:bCs/>
          <w:lang w:eastAsia="zh-CN"/>
        </w:rPr>
        <w:t>十二、</w:t>
      </w:r>
      <w:r>
        <w:rPr>
          <w:rFonts w:hint="eastAsia" w:ascii="仿宋" w:hAnsi="仿宋" w:eastAsia="仿宋" w:cs="仿宋"/>
          <w:b/>
          <w:bCs/>
          <w:snapToGrid/>
          <w:color w:val="auto"/>
          <w:kern w:val="2"/>
          <w:sz w:val="24"/>
          <w:szCs w:val="22"/>
          <w:highlight w:val="none"/>
          <w:lang w:val="en-US" w:eastAsia="zh-CN" w:bidi="ar-SA"/>
        </w:rPr>
        <w:t>询问联系方式：</w:t>
      </w:r>
    </w:p>
    <w:p w14:paraId="45FCA7B4">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57C09B19">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0E688D2B">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6415237">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6299E592">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DD00CA2">
            <w:pPr>
              <w:pStyle w:val="27"/>
              <w:snapToGrid w:val="0"/>
              <w:spacing w:line="312" w:lineRule="auto"/>
              <w:jc w:val="both"/>
              <w:rPr>
                <w:rFonts w:hint="eastAsia" w:ascii="仿宋" w:hAnsi="仿宋" w:eastAsia="仿宋" w:cs="仿宋"/>
                <w:color w:val="auto"/>
                <w:highlight w:val="none"/>
                <w:lang w:val="en-US" w:eastAsia="zh-CN"/>
              </w:rPr>
            </w:pPr>
          </w:p>
          <w:p w14:paraId="684E23D8">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p w14:paraId="1B63B8E8">
            <w:pPr>
              <w:pStyle w:val="27"/>
              <w:snapToGrid w:val="0"/>
              <w:spacing w:line="312" w:lineRule="auto"/>
              <w:jc w:val="center"/>
              <w:rPr>
                <w:rFonts w:hint="eastAsia" w:ascii="仿宋" w:hAnsi="仿宋" w:eastAsia="仿宋" w:cs="仿宋"/>
                <w:color w:val="auto"/>
                <w:highlight w:val="none"/>
                <w:lang w:val="en-US" w:eastAsia="zh-CN"/>
              </w:rPr>
            </w:pP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3D6191BA">
      <w:pPr>
        <w:pStyle w:val="3"/>
        <w:keepLines w:val="0"/>
        <w:snapToGrid w:val="0"/>
        <w:spacing w:before="0" w:after="0" w:line="312" w:lineRule="auto"/>
        <w:jc w:val="center"/>
        <w:rPr>
          <w:rFonts w:hint="eastAsia" w:ascii="仿宋" w:hAnsi="仿宋" w:eastAsia="仿宋" w:cs="仿宋"/>
          <w:color w:val="auto"/>
          <w:highlight w:val="none"/>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183582231"/>
      <w:bookmarkStart w:id="63" w:name="_Toc77400782"/>
      <w:bookmarkStart w:id="64" w:name="_Toc183682368"/>
      <w:bookmarkStart w:id="65" w:name="_Toc217446056"/>
      <w:bookmarkStart w:id="66" w:name="_Toc89075878"/>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6951997D">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汉源县中医医院拟选取</w:t>
      </w:r>
      <w:r>
        <w:rPr>
          <w:rFonts w:hint="eastAsia" w:ascii="仿宋" w:hAnsi="仿宋" w:eastAsia="仿宋" w:cs="仿宋"/>
          <w:bCs/>
          <w:color w:val="auto"/>
          <w:sz w:val="24"/>
          <w:szCs w:val="24"/>
          <w:highlight w:val="none"/>
          <w:lang w:eastAsia="zh-CN"/>
        </w:rPr>
        <w:t>辅料配送服务</w:t>
      </w:r>
      <w:r>
        <w:rPr>
          <w:rFonts w:hint="eastAsia" w:ascii="仿宋" w:hAnsi="仿宋" w:eastAsia="仿宋" w:cs="仿宋"/>
          <w:bCs/>
          <w:color w:val="auto"/>
          <w:sz w:val="24"/>
          <w:szCs w:val="24"/>
          <w:highlight w:val="none"/>
        </w:rPr>
        <w:t>供应商，本项目共</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个包。</w:t>
      </w:r>
    </w:p>
    <w:p w14:paraId="2074D9A2">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tbl>
      <w:tblPr>
        <w:tblStyle w:val="20"/>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6"/>
        <w:gridCol w:w="1620"/>
        <w:gridCol w:w="2880"/>
      </w:tblGrid>
      <w:tr w14:paraId="55C0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0C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344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2C7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最高限价（元）</w:t>
            </w:r>
          </w:p>
        </w:tc>
      </w:tr>
      <w:tr w14:paraId="6CCF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BA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糊精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05E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2F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5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5835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B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聚维酮</w:t>
            </w:r>
            <w:r>
              <w:rPr>
                <w:rStyle w:val="50"/>
                <w:rFonts w:eastAsia="宋体"/>
                <w:lang w:val="en-US" w:eastAsia="zh-CN" w:bidi="ar"/>
              </w:rPr>
              <w:t>K30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1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E8D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蔗糖丸芯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0.85-1.1mm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66D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5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木糖醇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5F5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山梨酸钾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7258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D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1A8C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CA1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F8B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月桂氮卓酮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F12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羟苯乙酯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2874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胰酪大豆胨琼脂培养基（TSA）(中国药典）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2FB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C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胰酪大豆胨液体培养基（</w:t>
            </w:r>
            <w:r>
              <w:rPr>
                <w:rStyle w:val="50"/>
                <w:rFonts w:eastAsia="宋体"/>
                <w:lang w:val="en-US" w:eastAsia="zh-CN" w:bidi="ar"/>
              </w:rPr>
              <w:t>TSB)</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272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B6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沙氏葡萄糖琼脂培养基（</w:t>
            </w:r>
            <w:r>
              <w:rPr>
                <w:rStyle w:val="50"/>
                <w:rFonts w:eastAsia="宋体"/>
                <w:lang w:val="en-US" w:eastAsia="zh-CN" w:bidi="ar"/>
              </w:rPr>
              <w:t>SDA)(</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65EC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C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麦康凯液体培养基</w:t>
            </w:r>
            <w:r>
              <w:rPr>
                <w:rStyle w:val="50"/>
                <w:rFonts w:eastAsia="宋体"/>
                <w:lang w:val="en-US" w:eastAsia="zh-CN" w:bidi="ar"/>
              </w:rPr>
              <w:t>(</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F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88D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9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麦康凯琼脂培养基（中国药典）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77A7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甘露醇氯化钠琼酯培养基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6DC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A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溴化十六烷基三甲铵琼脂培养基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0E75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D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0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2091.5</w:t>
            </w:r>
          </w:p>
        </w:tc>
      </w:tr>
    </w:tbl>
    <w:p w14:paraId="721CCDBE">
      <w:pPr>
        <w:pStyle w:val="19"/>
        <w:ind w:left="0" w:leftChars="0" w:firstLine="0" w:firstLineChars="0"/>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21B679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01E10798">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1、产品及其所有配置属于医疗器械的须符合《医疗器械注册管理办法》要求，并交货时提供中华人民共和国医疗器械注册证或备案凭证给采购人</w:t>
      </w:r>
      <w:r>
        <w:rPr>
          <w:rFonts w:hint="eastAsia" w:ascii="仿宋" w:hAnsi="仿宋" w:eastAsia="仿宋" w:cs="仿宋"/>
          <w:b w:val="0"/>
          <w:bCs/>
          <w:color w:val="auto"/>
          <w:sz w:val="24"/>
          <w:szCs w:val="24"/>
          <w:highlight w:val="none"/>
          <w:lang w:eastAsia="zh-CN"/>
        </w:rPr>
        <w:t>。</w:t>
      </w:r>
    </w:p>
    <w:p w14:paraId="37D407E6">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2、产品属于消毒产品的，交货时需提供产品生产企业有效的《生产企业卫生许可证》和产品有效的《消毒产品卫生安全评价报告》，产品若为新消毒产品提供有效的卫生许可批件。</w:t>
      </w:r>
    </w:p>
    <w:p w14:paraId="017BEAB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配送当月产品最低价执行，非挂网耗材以供应商报价单价执行，若履约过程中市场价格调低，则以调整后的市场价格执行。</w:t>
      </w:r>
    </w:p>
    <w:p w14:paraId="70C620CE">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本项目现不属于四川省药械集中采购及医药价格监管平台集中采购的耗材，如后期纳入为四川省药械集中采购及医药价格监管平台采购范围内产品，最终结算单价</w:t>
      </w:r>
      <w:r>
        <w:rPr>
          <w:rFonts w:hint="eastAsia" w:ascii="仿宋" w:hAnsi="仿宋" w:eastAsia="仿宋" w:cs="仿宋"/>
          <w:bCs/>
          <w:color w:val="auto"/>
          <w:sz w:val="24"/>
          <w:szCs w:val="24"/>
          <w:highlight w:val="none"/>
          <w:lang w:val="en-US" w:eastAsia="zh-CN"/>
        </w:rPr>
        <w:t>以</w:t>
      </w:r>
      <w:r>
        <w:rPr>
          <w:rFonts w:hint="eastAsia" w:ascii="仿宋" w:hAnsi="仿宋" w:eastAsia="仿宋" w:cs="仿宋"/>
          <w:bCs/>
          <w:color w:val="auto"/>
          <w:sz w:val="24"/>
          <w:szCs w:val="24"/>
          <w:highlight w:val="none"/>
        </w:rPr>
        <w:t>平台中的挂网价或经采购人同意后可按照磋商时成交单价执行。</w:t>
      </w:r>
    </w:p>
    <w:p w14:paraId="040560B8">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4、本项目采购清单不是实际采购清单，具体以采购人通知配送为准。采购人在后期若有新增的耗材需求，成交人应配合采购人提供供货服务，挂网产品按照挂网价执行，非挂网产品根据市场询价报采购人确定。</w:t>
      </w:r>
    </w:p>
    <w:p w14:paraId="27FFBED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5、耗材的有效期≥1年，有效期只有1年的耗材应提供</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效期≥10个月（以到货之日起计算），以耗材产品有效期为准，并且必须保证耗材质量符合合同约定才可送货，否则采购人可拒绝收货或要求供应商退货。</w:t>
      </w:r>
    </w:p>
    <w:p w14:paraId="540CB85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6、供应商须提供未曾使用过的、全新的合格的货品（含配套配件等），表面无划伤、无破损痕迹，且权属清楚，不得侵害他人的合法权利。 </w:t>
      </w:r>
    </w:p>
    <w:p w14:paraId="00FD1EE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7、供应商需保证其提供货品的安全可靠性。在正常使用下不应对使用者造成任何人身伤害，如因产品质量或标示不明确而对使用者造成损失的，由供应商承担相应责任。</w:t>
      </w:r>
    </w:p>
    <w:p w14:paraId="1F32F6F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8、合同履行期间，耗材采购政策（国家、地方行政管理部门或医院）有调整，需按照相关政策执行，采购人有可依据政策包括但不限于解除合同的权利。</w:t>
      </w:r>
    </w:p>
    <w:p w14:paraId="33B1F7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9、供应商应对提供的耗材做好出入库管理工作，形成溯源机制，保障耗材的安全性和质量，采购人可对供应商进行随机抽查。</w:t>
      </w:r>
    </w:p>
    <w:p w14:paraId="1FC2C028">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10、全部货物均按标准包装，外包装应采取防潮和防止其他损坏的必要保护措施。供应商对采购货品运输过程中出现的损毁负全部责任。 </w:t>
      </w:r>
    </w:p>
    <w:p w14:paraId="2E3478E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11、负责耗材现场搬运、入库，提供耗材开箱或分装的用具；对开箱时发现的破损、近效期耗材或其他不合格包装耗材及时更换。</w:t>
      </w:r>
    </w:p>
    <w:p w14:paraId="4FB94A3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12、在收到采购人通知配货需求后应按照采购人要求的产品品类、数量及时间配送，相关的配送清单、产品证明材料随货交付。</w:t>
      </w:r>
    </w:p>
    <w:p w14:paraId="17852AF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2BD6231">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1、供应商提供供货保障方案，内容包括：（1）货源的稳定性；（2）溯源管理；（3）出入库管理；（4）产品质量质检；（5）内控管理。</w:t>
      </w:r>
    </w:p>
    <w:p w14:paraId="314429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2、供应商提供配送方案，</w:t>
      </w:r>
    </w:p>
    <w:p w14:paraId="7D18082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内容包括：（1）配送时效保障；（2）人员及设备方案；（3）应急配送协调管理；（4）配送安全保障。</w:t>
      </w:r>
    </w:p>
    <w:p w14:paraId="0A63564C">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3、供应商提供售后服务方案，内容包括：（1）售后人员配置及售现场支持；（2）售后应急响应；（3）备品备件安排。</w:t>
      </w:r>
    </w:p>
    <w:p w14:paraId="33E2C3D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（三）商务要求</w:t>
      </w:r>
    </w:p>
    <w:p w14:paraId="2410CC11">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★1、交货期限：整体服务期限</w:t>
      </w:r>
      <w:r>
        <w:rPr>
          <w:rFonts w:hint="eastAsia" w:ascii="仿宋" w:hAnsi="仿宋" w:eastAsia="仿宋" w:cs="仿宋"/>
          <w:bCs/>
          <w:color w:val="auto"/>
          <w:sz w:val="24"/>
          <w:szCs w:val="24"/>
          <w:highlight w:val="none"/>
          <w:lang w:val="en-US" w:eastAsia="zh-CN"/>
        </w:rPr>
        <w:t>三年，合同一年一签，合同到期经采购人考核验收合格后可续签下一年度合同</w:t>
      </w:r>
      <w:r>
        <w:rPr>
          <w:rFonts w:hint="eastAsia" w:ascii="仿宋" w:hAnsi="仿宋" w:eastAsia="仿宋" w:cs="仿宋"/>
          <w:bCs/>
          <w:color w:val="auto"/>
          <w:sz w:val="24"/>
          <w:szCs w:val="24"/>
          <w:highlight w:val="none"/>
        </w:rPr>
        <w:t>。每批次交货时间为接到采购人通知后30分钟内响应并在接到通知后48小时内到货，如遇采购人紧急需要耗材的，配送时间在接到采购人通知后4小时内到货。如未按时供货对采购人造成的经济损失等，采购人有权追究成交人责任。</w:t>
      </w:r>
      <w:r>
        <w:rPr>
          <w:rFonts w:hint="eastAsia" w:ascii="仿宋" w:hAnsi="仿宋" w:eastAsia="仿宋" w:cs="仿宋"/>
          <w:bCs/>
          <w:color w:val="auto"/>
          <w:sz w:val="24"/>
          <w:szCs w:val="24"/>
          <w:highlight w:val="none"/>
          <w:lang w:eastAsia="zh-CN"/>
        </w:rPr>
        <w:t>如在履行合同过程中，与上级部门执行政策相违背的，采购人有权依据政策调整或终止合同。</w:t>
      </w:r>
    </w:p>
    <w:p w14:paraId="376B542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w:t>
      </w:r>
      <w:r>
        <w:rPr>
          <w:rFonts w:hint="eastAsia" w:ascii="仿宋" w:hAnsi="仿宋" w:eastAsia="仿宋" w:cs="仿宋"/>
          <w:bCs/>
          <w:color w:val="auto"/>
          <w:sz w:val="24"/>
          <w:highlight w:val="none"/>
        </w:rPr>
        <w:t>汉源县九襄镇交通南路88号</w:t>
      </w:r>
      <w:r>
        <w:rPr>
          <w:rFonts w:hint="eastAsia" w:ascii="仿宋" w:hAnsi="仿宋" w:eastAsia="仿宋" w:cs="仿宋"/>
          <w:bCs/>
          <w:color w:val="auto"/>
          <w:sz w:val="24"/>
          <w:szCs w:val="24"/>
          <w:highlight w:val="none"/>
        </w:rPr>
        <w:t>。</w:t>
      </w:r>
    </w:p>
    <w:p w14:paraId="7E477CF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739F170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（1）集中挂网阳光采购部分：成交供应商按正常途径提供货物并办理入库手续后，采购人凭成交供应商开具的发票，以当月入账时间为准，购入材料1个月后，次月支付上一个月货款；具体支付时间及比例以合同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w:t>
      </w:r>
    </w:p>
    <w:p w14:paraId="474A86C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（2）非集中挂网阳光采购产品：非集中挂网阳光采购产品以</w:t>
      </w:r>
      <w:r>
        <w:rPr>
          <w:rFonts w:hint="eastAsia" w:ascii="仿宋" w:hAnsi="仿宋" w:eastAsia="仿宋" w:cs="仿宋"/>
          <w:bCs/>
          <w:color w:val="auto"/>
          <w:sz w:val="24"/>
          <w:szCs w:val="24"/>
          <w:highlight w:val="none"/>
          <w:lang w:val="en-US" w:eastAsia="zh-CN"/>
        </w:rPr>
        <w:t>结算</w:t>
      </w:r>
      <w:r>
        <w:rPr>
          <w:rFonts w:hint="eastAsia" w:ascii="仿宋" w:hAnsi="仿宋" w:eastAsia="仿宋" w:cs="仿宋"/>
          <w:bCs/>
          <w:color w:val="auto"/>
          <w:sz w:val="24"/>
          <w:szCs w:val="24"/>
          <w:highlight w:val="none"/>
        </w:rPr>
        <w:t>单价*每月实际供货量, 以当月入账时间为准，购入材料款6个月后付款，第7个月付第一个月货款，具体支付时间及比例以合同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定为准。每次款项的支付前提均为采购人在收到成交人出具的正规发票后予以办理款项的支付。</w:t>
      </w:r>
    </w:p>
    <w:p w14:paraId="11F1CD0D">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）以上起始时间均按供应商提供所有资料（包含不限于随货同行单、发票等）</w:t>
      </w:r>
      <w:r>
        <w:rPr>
          <w:rFonts w:hint="eastAsia" w:ascii="仿宋" w:hAnsi="仿宋" w:eastAsia="仿宋" w:cs="仿宋"/>
          <w:bCs/>
          <w:color w:val="auto"/>
          <w:sz w:val="24"/>
          <w:szCs w:val="24"/>
          <w:highlight w:val="none"/>
          <w:lang w:val="en-US" w:eastAsia="zh-CN"/>
        </w:rPr>
        <w:t>的时间</w:t>
      </w:r>
      <w:r>
        <w:rPr>
          <w:rFonts w:hint="eastAsia" w:ascii="仿宋" w:hAnsi="仿宋" w:eastAsia="仿宋" w:cs="仿宋"/>
          <w:bCs/>
          <w:color w:val="auto"/>
          <w:sz w:val="24"/>
          <w:szCs w:val="24"/>
          <w:highlight w:val="none"/>
          <w:lang w:eastAsia="zh-CN"/>
        </w:rPr>
        <w:t>计算。</w:t>
      </w:r>
    </w:p>
    <w:p w14:paraId="77DF01F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335DABC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B9151C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2551AD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5D2D97A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7577D15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（1）违约责任</w:t>
      </w:r>
    </w:p>
    <w:p w14:paraId="67B7AF6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5DD88D4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57CF141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（2）解决争议的办法</w:t>
      </w:r>
    </w:p>
    <w:p w14:paraId="75BBF96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合同履行期间,若双方发生争议，可协商或由有关部门调解解决，协商或调解不成的，由当事人依法向采购人所在地有管辖权的法院提起诉讼维护其合法权益。</w:t>
      </w:r>
    </w:p>
    <w:p w14:paraId="572FE52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519D3EC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0E61A44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6569A3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C9440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2FCEB522">
      <w:pPr>
        <w:pStyle w:val="7"/>
        <w:rPr>
          <w:rFonts w:hint="eastAsia"/>
          <w:color w:val="auto"/>
          <w:highlight w:val="none"/>
        </w:rPr>
      </w:pPr>
    </w:p>
    <w:p w14:paraId="3F713A01">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w:t>
            </w:r>
            <w:r>
              <w:rPr>
                <w:rFonts w:hint="eastAsia" w:cs="宋体"/>
                <w:color w:val="000000"/>
                <w:lang w:val="en-US" w:eastAsia="zh-CN"/>
              </w:rPr>
              <w:t xml:space="preserve"> </w:t>
            </w:r>
            <w:r>
              <w:rPr>
                <w:rFonts w:hint="eastAsia" w:cs="宋体"/>
                <w:color w:val="000000"/>
              </w:rPr>
              <w:t>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19C3AF68">
      <w:pPr>
        <w:pStyle w:val="42"/>
        <w:rPr>
          <w:rFonts w:hint="eastAsia"/>
        </w:rPr>
      </w:pPr>
    </w:p>
    <w:p w14:paraId="207BB2D4">
      <w:pPr>
        <w:pStyle w:val="42"/>
        <w:rPr>
          <w:rFonts w:hint="eastAsia"/>
        </w:rPr>
      </w:pPr>
    </w:p>
    <w:p w14:paraId="4193FF50">
      <w:pPr>
        <w:pStyle w:val="42"/>
        <w:rPr>
          <w:rFonts w:hint="eastAsia"/>
        </w:rPr>
      </w:pPr>
    </w:p>
    <w:p w14:paraId="6A4B9715">
      <w:pPr>
        <w:pStyle w:val="42"/>
        <w:rPr>
          <w:rFonts w:hint="eastAsia"/>
        </w:rPr>
      </w:pPr>
    </w:p>
    <w:p w14:paraId="7253DDF6">
      <w:pPr>
        <w:pStyle w:val="42"/>
        <w:rPr>
          <w:rFonts w:hint="eastAsia"/>
        </w:rPr>
      </w:pPr>
    </w:p>
    <w:p w14:paraId="01EC1925">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5306"/>
      <w:bookmarkStart w:id="106" w:name="_Toc11556"/>
      <w:bookmarkStart w:id="107" w:name="_Toc31011"/>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5870"/>
      <w:bookmarkStart w:id="137" w:name="_Toc24529"/>
      <w:bookmarkStart w:id="138" w:name="_Toc16336"/>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11410"/>
      <w:bookmarkStart w:id="140" w:name="_Toc21379"/>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2311"/>
      <w:bookmarkStart w:id="151" w:name="_Toc1845"/>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78547FD9">
      <w:pPr>
        <w:snapToGrid w:val="0"/>
        <w:spacing w:line="312" w:lineRule="auto"/>
        <w:ind w:right="482"/>
        <w:jc w:val="center"/>
        <w:outlineLvl w:val="1"/>
        <w:rPr>
          <w:rFonts w:hint="eastAsia" w:ascii="仿宋" w:hAnsi="仿宋" w:eastAsia="仿宋" w:cs="仿宋"/>
          <w:b/>
          <w:color w:val="auto"/>
          <w:sz w:val="32"/>
          <w:szCs w:val="32"/>
          <w:highlight w:val="none"/>
        </w:rPr>
      </w:pPr>
    </w:p>
    <w:p w14:paraId="3D8DEB1D">
      <w:pPr>
        <w:snapToGrid w:val="0"/>
        <w:spacing w:line="312" w:lineRule="auto"/>
        <w:ind w:right="482"/>
        <w:jc w:val="center"/>
        <w:outlineLvl w:val="1"/>
        <w:rPr>
          <w:rFonts w:hint="eastAsia" w:ascii="仿宋" w:hAnsi="仿宋" w:eastAsia="仿宋" w:cs="仿宋"/>
          <w:b/>
          <w:color w:val="auto"/>
          <w:sz w:val="32"/>
          <w:szCs w:val="32"/>
          <w:highlight w:val="none"/>
        </w:rPr>
      </w:pPr>
    </w:p>
    <w:p w14:paraId="3E2401EC">
      <w:pPr>
        <w:snapToGrid w:val="0"/>
        <w:spacing w:line="312" w:lineRule="auto"/>
        <w:ind w:right="482"/>
        <w:jc w:val="center"/>
        <w:outlineLvl w:val="1"/>
        <w:rPr>
          <w:rFonts w:hint="eastAsia" w:ascii="仿宋" w:hAnsi="仿宋" w:eastAsia="仿宋" w:cs="仿宋"/>
          <w:b/>
          <w:color w:val="auto"/>
          <w:sz w:val="32"/>
          <w:szCs w:val="32"/>
          <w:highlight w:val="none"/>
        </w:rPr>
      </w:pPr>
    </w:p>
    <w:p w14:paraId="481198BC">
      <w:pPr>
        <w:snapToGrid w:val="0"/>
        <w:spacing w:line="312" w:lineRule="auto"/>
        <w:ind w:right="482"/>
        <w:jc w:val="center"/>
        <w:outlineLvl w:val="1"/>
        <w:rPr>
          <w:rFonts w:hint="eastAsia" w:ascii="仿宋" w:hAnsi="仿宋" w:eastAsia="仿宋" w:cs="仿宋"/>
          <w:b/>
          <w:color w:val="auto"/>
          <w:sz w:val="32"/>
          <w:szCs w:val="32"/>
          <w:highlight w:val="none"/>
        </w:rPr>
      </w:pPr>
    </w:p>
    <w:p w14:paraId="208250EE">
      <w:pPr>
        <w:snapToGrid w:val="0"/>
        <w:spacing w:line="312" w:lineRule="auto"/>
        <w:ind w:right="482"/>
        <w:jc w:val="center"/>
        <w:outlineLvl w:val="1"/>
        <w:rPr>
          <w:rFonts w:hint="eastAsia" w:ascii="仿宋" w:hAnsi="仿宋" w:eastAsia="仿宋" w:cs="仿宋"/>
          <w:b/>
          <w:color w:val="auto"/>
          <w:sz w:val="32"/>
          <w:szCs w:val="32"/>
          <w:highlight w:val="none"/>
        </w:rPr>
      </w:pPr>
    </w:p>
    <w:p w14:paraId="3B8C693F">
      <w:pPr>
        <w:snapToGrid w:val="0"/>
        <w:spacing w:line="312" w:lineRule="auto"/>
        <w:ind w:right="482"/>
        <w:jc w:val="center"/>
        <w:outlineLvl w:val="1"/>
        <w:rPr>
          <w:rFonts w:hint="eastAsia" w:ascii="仿宋" w:hAnsi="仿宋" w:eastAsia="仿宋" w:cs="仿宋"/>
          <w:b/>
          <w:color w:val="auto"/>
          <w:sz w:val="32"/>
          <w:szCs w:val="32"/>
          <w:highlight w:val="none"/>
        </w:rPr>
      </w:pPr>
    </w:p>
    <w:p w14:paraId="39230677">
      <w:pPr>
        <w:snapToGrid w:val="0"/>
        <w:spacing w:line="312" w:lineRule="auto"/>
        <w:ind w:right="482"/>
        <w:jc w:val="center"/>
        <w:outlineLvl w:val="1"/>
        <w:rPr>
          <w:rFonts w:hint="eastAsia" w:ascii="仿宋" w:hAnsi="仿宋" w:eastAsia="仿宋" w:cs="仿宋"/>
          <w:b/>
          <w:color w:val="auto"/>
          <w:sz w:val="32"/>
          <w:szCs w:val="32"/>
          <w:highlight w:val="none"/>
        </w:rPr>
      </w:pPr>
    </w:p>
    <w:p w14:paraId="2D2593BF">
      <w:pPr>
        <w:snapToGrid w:val="0"/>
        <w:spacing w:line="312" w:lineRule="auto"/>
        <w:ind w:right="482"/>
        <w:jc w:val="center"/>
        <w:outlineLvl w:val="1"/>
        <w:rPr>
          <w:rFonts w:hint="eastAsia" w:ascii="仿宋" w:hAnsi="仿宋" w:eastAsia="仿宋" w:cs="仿宋"/>
          <w:b/>
          <w:color w:val="auto"/>
          <w:sz w:val="32"/>
          <w:szCs w:val="32"/>
          <w:highlight w:val="none"/>
        </w:rPr>
      </w:pPr>
    </w:p>
    <w:p w14:paraId="1D3970FC">
      <w:pPr>
        <w:snapToGrid w:val="0"/>
        <w:spacing w:line="312" w:lineRule="auto"/>
        <w:ind w:right="482"/>
        <w:jc w:val="center"/>
        <w:outlineLvl w:val="1"/>
        <w:rPr>
          <w:rFonts w:hint="eastAsia" w:ascii="仿宋" w:hAnsi="仿宋" w:eastAsia="仿宋" w:cs="仿宋"/>
          <w:b/>
          <w:color w:val="auto"/>
          <w:sz w:val="32"/>
          <w:szCs w:val="32"/>
          <w:highlight w:val="none"/>
        </w:rPr>
      </w:pPr>
    </w:p>
    <w:p w14:paraId="391264DF">
      <w:pPr>
        <w:snapToGrid w:val="0"/>
        <w:spacing w:line="312" w:lineRule="auto"/>
        <w:ind w:right="482"/>
        <w:jc w:val="center"/>
        <w:outlineLvl w:val="1"/>
        <w:rPr>
          <w:rFonts w:hint="eastAsia" w:ascii="仿宋" w:hAnsi="仿宋" w:eastAsia="仿宋" w:cs="仿宋"/>
          <w:b/>
          <w:color w:val="auto"/>
          <w:sz w:val="32"/>
          <w:szCs w:val="32"/>
          <w:highlight w:val="none"/>
        </w:rPr>
      </w:pPr>
    </w:p>
    <w:p w14:paraId="183C5AB8">
      <w:pPr>
        <w:snapToGrid w:val="0"/>
        <w:spacing w:line="312" w:lineRule="auto"/>
        <w:ind w:right="482"/>
        <w:jc w:val="center"/>
        <w:outlineLvl w:val="1"/>
        <w:rPr>
          <w:rFonts w:hint="eastAsia" w:ascii="仿宋" w:hAnsi="仿宋" w:eastAsia="仿宋" w:cs="仿宋"/>
          <w:b/>
          <w:color w:val="auto"/>
          <w:sz w:val="32"/>
          <w:szCs w:val="32"/>
          <w:highlight w:val="none"/>
        </w:rPr>
      </w:pPr>
    </w:p>
    <w:p w14:paraId="7E460636">
      <w:pPr>
        <w:snapToGrid w:val="0"/>
        <w:spacing w:line="312" w:lineRule="auto"/>
        <w:ind w:right="482"/>
        <w:jc w:val="center"/>
        <w:outlineLvl w:val="1"/>
        <w:rPr>
          <w:rFonts w:hint="eastAsia" w:ascii="仿宋" w:hAnsi="仿宋" w:eastAsia="仿宋" w:cs="仿宋"/>
          <w:b/>
          <w:color w:val="auto"/>
          <w:sz w:val="32"/>
          <w:szCs w:val="32"/>
          <w:highlight w:val="none"/>
        </w:rPr>
      </w:pPr>
    </w:p>
    <w:p w14:paraId="79DF03E3">
      <w:pPr>
        <w:snapToGrid w:val="0"/>
        <w:spacing w:line="312" w:lineRule="auto"/>
        <w:ind w:right="482"/>
        <w:jc w:val="center"/>
        <w:outlineLvl w:val="1"/>
        <w:rPr>
          <w:rFonts w:hint="eastAsia" w:ascii="仿宋" w:hAnsi="仿宋" w:eastAsia="仿宋" w:cs="仿宋"/>
          <w:b/>
          <w:color w:val="auto"/>
          <w:sz w:val="32"/>
          <w:szCs w:val="32"/>
          <w:highlight w:val="none"/>
        </w:rPr>
      </w:pPr>
    </w:p>
    <w:p w14:paraId="32855532">
      <w:pPr>
        <w:snapToGrid w:val="0"/>
        <w:spacing w:line="312" w:lineRule="auto"/>
        <w:ind w:right="482"/>
        <w:jc w:val="center"/>
        <w:outlineLvl w:val="1"/>
        <w:rPr>
          <w:rFonts w:hint="eastAsia" w:ascii="仿宋" w:hAnsi="仿宋" w:eastAsia="仿宋" w:cs="仿宋"/>
          <w:b/>
          <w:color w:val="auto"/>
          <w:sz w:val="32"/>
          <w:szCs w:val="32"/>
          <w:highlight w:val="none"/>
        </w:rPr>
      </w:pPr>
    </w:p>
    <w:p w14:paraId="5818F4E6">
      <w:pPr>
        <w:snapToGrid w:val="0"/>
        <w:spacing w:line="312" w:lineRule="auto"/>
        <w:ind w:right="482"/>
        <w:jc w:val="center"/>
        <w:outlineLvl w:val="1"/>
        <w:rPr>
          <w:rFonts w:hint="eastAsia" w:ascii="仿宋" w:hAnsi="仿宋" w:eastAsia="仿宋" w:cs="仿宋"/>
          <w:b/>
          <w:color w:val="auto"/>
          <w:sz w:val="32"/>
          <w:szCs w:val="32"/>
          <w:highlight w:val="none"/>
        </w:rPr>
      </w:pPr>
    </w:p>
    <w:p w14:paraId="47CEA360">
      <w:pPr>
        <w:snapToGrid w:val="0"/>
        <w:spacing w:line="312" w:lineRule="auto"/>
        <w:ind w:right="482"/>
        <w:jc w:val="center"/>
        <w:outlineLvl w:val="1"/>
        <w:rPr>
          <w:rFonts w:hint="eastAsia" w:ascii="仿宋" w:hAnsi="仿宋" w:eastAsia="仿宋" w:cs="仿宋"/>
          <w:b/>
          <w:color w:val="auto"/>
          <w:sz w:val="32"/>
          <w:szCs w:val="32"/>
          <w:highlight w:val="none"/>
        </w:rPr>
      </w:pPr>
    </w:p>
    <w:p w14:paraId="0E7975D6">
      <w:pPr>
        <w:snapToGrid w:val="0"/>
        <w:spacing w:line="312" w:lineRule="auto"/>
        <w:ind w:right="482"/>
        <w:jc w:val="center"/>
        <w:outlineLvl w:val="1"/>
        <w:rPr>
          <w:rFonts w:hint="eastAsia" w:ascii="仿宋" w:hAnsi="仿宋" w:eastAsia="仿宋" w:cs="仿宋"/>
          <w:b/>
          <w:color w:val="auto"/>
          <w:sz w:val="32"/>
          <w:szCs w:val="32"/>
          <w:highlight w:val="none"/>
        </w:rPr>
      </w:pPr>
    </w:p>
    <w:p w14:paraId="12EFF725">
      <w:pPr>
        <w:snapToGrid w:val="0"/>
        <w:spacing w:line="312" w:lineRule="auto"/>
        <w:ind w:right="482"/>
        <w:jc w:val="center"/>
        <w:outlineLvl w:val="1"/>
        <w:rPr>
          <w:rFonts w:hint="eastAsia" w:ascii="仿宋" w:hAnsi="仿宋" w:eastAsia="仿宋" w:cs="仿宋"/>
          <w:b/>
          <w:color w:val="auto"/>
          <w:sz w:val="32"/>
          <w:szCs w:val="32"/>
          <w:highlight w:val="none"/>
        </w:rPr>
      </w:pPr>
    </w:p>
    <w:p w14:paraId="1BE0E23B">
      <w:pPr>
        <w:snapToGrid w:val="0"/>
        <w:spacing w:line="312" w:lineRule="auto"/>
        <w:ind w:right="482"/>
        <w:jc w:val="center"/>
        <w:outlineLvl w:val="1"/>
        <w:rPr>
          <w:rFonts w:hint="eastAsia" w:ascii="仿宋" w:hAnsi="仿宋" w:eastAsia="仿宋" w:cs="仿宋"/>
          <w:b/>
          <w:color w:val="auto"/>
          <w:sz w:val="32"/>
          <w:szCs w:val="32"/>
          <w:highlight w:val="none"/>
        </w:rPr>
      </w:pPr>
    </w:p>
    <w:p w14:paraId="06FC4B15">
      <w:pPr>
        <w:snapToGrid w:val="0"/>
        <w:spacing w:line="312" w:lineRule="auto"/>
        <w:ind w:right="482"/>
        <w:jc w:val="center"/>
        <w:outlineLvl w:val="1"/>
        <w:rPr>
          <w:rFonts w:hint="eastAsia" w:ascii="仿宋" w:hAnsi="仿宋" w:eastAsia="仿宋" w:cs="仿宋"/>
          <w:b/>
          <w:color w:val="auto"/>
          <w:sz w:val="32"/>
          <w:szCs w:val="32"/>
          <w:highlight w:val="none"/>
        </w:rPr>
      </w:pPr>
    </w:p>
    <w:p w14:paraId="4DAC7327">
      <w:pPr>
        <w:snapToGrid w:val="0"/>
        <w:spacing w:line="312" w:lineRule="auto"/>
        <w:ind w:right="482"/>
        <w:jc w:val="center"/>
        <w:outlineLvl w:val="1"/>
        <w:rPr>
          <w:rFonts w:hint="eastAsia" w:ascii="仿宋" w:hAnsi="仿宋" w:eastAsia="仿宋" w:cs="仿宋"/>
          <w:b/>
          <w:color w:val="auto"/>
          <w:sz w:val="32"/>
          <w:szCs w:val="32"/>
          <w:highlight w:val="none"/>
        </w:rPr>
      </w:pPr>
    </w:p>
    <w:p w14:paraId="4CB49B6C">
      <w:pPr>
        <w:snapToGrid w:val="0"/>
        <w:spacing w:line="312" w:lineRule="auto"/>
        <w:ind w:right="482"/>
        <w:jc w:val="center"/>
        <w:outlineLvl w:val="1"/>
        <w:rPr>
          <w:rFonts w:hint="eastAsia" w:ascii="仿宋" w:hAnsi="仿宋" w:eastAsia="仿宋" w:cs="仿宋"/>
          <w:b/>
          <w:color w:val="auto"/>
          <w:sz w:val="32"/>
          <w:szCs w:val="32"/>
          <w:highlight w:val="none"/>
        </w:rPr>
      </w:pPr>
    </w:p>
    <w:p w14:paraId="4AF2E720">
      <w:pPr>
        <w:snapToGrid w:val="0"/>
        <w:spacing w:line="312" w:lineRule="auto"/>
        <w:ind w:right="482"/>
        <w:jc w:val="center"/>
        <w:outlineLvl w:val="1"/>
        <w:rPr>
          <w:rFonts w:hint="eastAsia" w:ascii="仿宋" w:hAnsi="仿宋" w:eastAsia="仿宋" w:cs="仿宋"/>
          <w:b/>
          <w:color w:val="auto"/>
          <w:sz w:val="32"/>
          <w:szCs w:val="32"/>
          <w:highlight w:val="none"/>
        </w:rPr>
      </w:pPr>
    </w:p>
    <w:p w14:paraId="59C1142C">
      <w:pPr>
        <w:snapToGrid w:val="0"/>
        <w:spacing w:line="312" w:lineRule="auto"/>
        <w:ind w:right="482"/>
        <w:jc w:val="center"/>
        <w:outlineLvl w:val="1"/>
        <w:rPr>
          <w:rFonts w:hint="eastAsia" w:ascii="仿宋" w:hAnsi="仿宋" w:eastAsia="仿宋" w:cs="仿宋"/>
          <w:b/>
          <w:color w:val="auto"/>
          <w:sz w:val="32"/>
          <w:szCs w:val="32"/>
          <w:highlight w:val="none"/>
        </w:rPr>
      </w:pPr>
    </w:p>
    <w:p w14:paraId="58BF3E4D">
      <w:pPr>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八、报价一览表</w:t>
      </w:r>
    </w:p>
    <w:p w14:paraId="7A4D3BD5">
      <w:pPr>
        <w:adjustRightInd w:val="0"/>
        <w:snapToGrid w:val="0"/>
        <w:spacing w:line="312" w:lineRule="auto"/>
        <w:rPr>
          <w:rFonts w:hint="eastAsia" w:ascii="仿宋" w:hAnsi="仿宋" w:eastAsia="仿宋" w:cs="仿宋"/>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2A0ACD3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1A1BBA">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3ED45E61">
            <w:pPr>
              <w:tabs>
                <w:tab w:val="left" w:pos="7665"/>
              </w:tabs>
              <w:snapToGrid w:val="0"/>
              <w:spacing w:line="312" w:lineRule="auto"/>
              <w:jc w:val="center"/>
              <w:rPr>
                <w:rFonts w:hint="eastAsia" w:ascii="仿宋" w:hAnsi="仿宋" w:eastAsia="仿宋" w:cs="仿宋"/>
                <w:color w:val="auto"/>
                <w:kern w:val="0"/>
                <w:sz w:val="24"/>
                <w:highlight w:val="none"/>
              </w:rPr>
            </w:pPr>
          </w:p>
        </w:tc>
      </w:tr>
      <w:tr w14:paraId="7E7F5A1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AFCFD45">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75D541ED">
            <w:pPr>
              <w:tabs>
                <w:tab w:val="left" w:pos="7665"/>
              </w:tabs>
              <w:snapToGrid w:val="0"/>
              <w:spacing w:line="312" w:lineRule="auto"/>
              <w:jc w:val="center"/>
              <w:rPr>
                <w:rFonts w:hint="eastAsia" w:ascii="仿宋" w:hAnsi="仿宋" w:eastAsia="仿宋" w:cs="仿宋"/>
                <w:color w:val="auto"/>
                <w:kern w:val="0"/>
                <w:sz w:val="24"/>
                <w:highlight w:val="none"/>
              </w:rPr>
            </w:pPr>
          </w:p>
        </w:tc>
      </w:tr>
      <w:tr w14:paraId="1497ADD5">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891094">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1C3E7419">
            <w:pPr>
              <w:tabs>
                <w:tab w:val="left" w:pos="7665"/>
              </w:tabs>
              <w:snapToGrid w:val="0"/>
              <w:spacing w:line="312" w:lineRule="auto"/>
              <w:jc w:val="center"/>
              <w:rPr>
                <w:rFonts w:hint="eastAsia" w:ascii="仿宋" w:hAnsi="仿宋" w:eastAsia="仿宋" w:cs="仿宋"/>
                <w:color w:val="auto"/>
                <w:kern w:val="0"/>
                <w:sz w:val="24"/>
                <w:highlight w:val="none"/>
              </w:rPr>
            </w:pPr>
          </w:p>
        </w:tc>
      </w:tr>
      <w:tr w14:paraId="17206472">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3C978BEE">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33B6F143">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17A7B6">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9107B9">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72F5E4B6">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CE0F626">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B07F26D">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348178">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2EB95B">
            <w:pPr>
              <w:tabs>
                <w:tab w:val="left" w:pos="7665"/>
              </w:tabs>
              <w:snapToGrid w:val="0"/>
              <w:spacing w:line="312" w:lineRule="auto"/>
              <w:jc w:val="left"/>
              <w:rPr>
                <w:rFonts w:hint="eastAsia" w:ascii="仿宋" w:hAnsi="仿宋" w:eastAsia="仿宋" w:cs="仿宋"/>
                <w:color w:val="auto"/>
                <w:kern w:val="0"/>
                <w:sz w:val="24"/>
                <w:highlight w:val="none"/>
              </w:rPr>
            </w:pPr>
          </w:p>
        </w:tc>
      </w:tr>
      <w:tr w14:paraId="7EB47B8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4D7DCEFE">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06D2B5AF">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844E94">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C3A4B20">
            <w:pPr>
              <w:tabs>
                <w:tab w:val="left" w:pos="7665"/>
              </w:tabs>
              <w:snapToGrid w:val="0"/>
              <w:spacing w:line="312" w:lineRule="auto"/>
              <w:jc w:val="left"/>
              <w:rPr>
                <w:rFonts w:hint="eastAsia" w:ascii="仿宋" w:hAnsi="仿宋" w:eastAsia="仿宋" w:cs="仿宋"/>
                <w:color w:val="auto"/>
                <w:kern w:val="0"/>
                <w:sz w:val="24"/>
                <w:highlight w:val="none"/>
              </w:rPr>
            </w:pPr>
          </w:p>
        </w:tc>
      </w:tr>
      <w:tr w14:paraId="21B86967">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FC83782">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FD64546">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55A606">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0BB9A0">
            <w:pPr>
              <w:tabs>
                <w:tab w:val="left" w:pos="7665"/>
              </w:tabs>
              <w:snapToGrid w:val="0"/>
              <w:spacing w:line="312" w:lineRule="auto"/>
              <w:jc w:val="left"/>
              <w:rPr>
                <w:rFonts w:hint="eastAsia" w:ascii="仿宋" w:hAnsi="仿宋" w:eastAsia="仿宋" w:cs="仿宋"/>
                <w:color w:val="auto"/>
                <w:kern w:val="0"/>
                <w:sz w:val="24"/>
                <w:highlight w:val="none"/>
              </w:rPr>
            </w:pPr>
          </w:p>
        </w:tc>
      </w:tr>
      <w:tr w14:paraId="47BF0C36">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5A01D470">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707E6BFA">
      <w:pPr>
        <w:snapToGrid w:val="0"/>
        <w:spacing w:line="312" w:lineRule="auto"/>
        <w:rPr>
          <w:rFonts w:hint="eastAsia" w:ascii="仿宋" w:eastAsia="仿宋" w:cs="仿宋"/>
          <w:color w:val="auto"/>
          <w:highlight w:val="none"/>
        </w:rPr>
      </w:pPr>
    </w:p>
    <w:p w14:paraId="52009A22">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E1B8F7">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E0111F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08D000D4">
      <w:pPr>
        <w:snapToGrid w:val="0"/>
        <w:spacing w:line="312" w:lineRule="auto"/>
        <w:ind w:firstLine="480" w:firstLineChars="200"/>
        <w:rPr>
          <w:rFonts w:hint="eastAsia" w:ascii="仿宋" w:hAnsi="永中宋体" w:eastAsia="仿宋" w:cs="仿宋"/>
          <w:color w:val="auto"/>
          <w:kern w:val="0"/>
          <w:sz w:val="24"/>
          <w:highlight w:val="none"/>
        </w:rPr>
      </w:pPr>
    </w:p>
    <w:p w14:paraId="094020AE">
      <w:pPr>
        <w:snapToGrid w:val="0"/>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4D2A9028">
      <w:pPr>
        <w:snapToGrid w:val="0"/>
        <w:spacing w:line="312" w:lineRule="auto"/>
        <w:ind w:firstLine="480" w:firstLineChars="200"/>
        <w:rPr>
          <w:rFonts w:hint="default" w:ascii="仿宋" w:hAnsi="永中宋体" w:eastAsia="仿宋" w:cs="仿宋"/>
          <w:color w:val="auto"/>
          <w:kern w:val="0"/>
          <w:sz w:val="24"/>
          <w:highlight w:val="none"/>
          <w:lang w:val="en-US"/>
        </w:rPr>
      </w:pPr>
      <w:r>
        <w:rPr>
          <w:rFonts w:hint="eastAsia" w:ascii="仿宋" w:hAnsi="仿宋" w:eastAsia="仿宋" w:cs="仿宋"/>
          <w:bCs/>
          <w:color w:val="auto"/>
          <w:sz w:val="24"/>
          <w:szCs w:val="24"/>
          <w:highlight w:val="none"/>
          <w:lang w:val="en-US" w:eastAsia="zh-CN"/>
        </w:rPr>
        <w:br w:type="page"/>
      </w:r>
    </w:p>
    <w:p w14:paraId="5DCF4A03">
      <w:pPr>
        <w:snapToGrid w:val="0"/>
        <w:spacing w:line="312" w:lineRule="auto"/>
        <w:ind w:firstLine="616" w:firstLineChars="257"/>
        <w:rPr>
          <w:rFonts w:hint="eastAsia" w:ascii="仿宋" w:hAnsi="仿宋" w:eastAsia="仿宋" w:cs="仿宋"/>
          <w:color w:val="auto"/>
          <w:sz w:val="24"/>
          <w:highlight w:val="none"/>
        </w:rPr>
      </w:pPr>
    </w:p>
    <w:p w14:paraId="6E9FF53F">
      <w:pPr>
        <w:pStyle w:val="32"/>
        <w:snapToGrid w:val="0"/>
        <w:spacing w:line="312" w:lineRule="auto"/>
        <w:ind w:firstLine="0" w:firstLineChars="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明细表</w:t>
      </w:r>
    </w:p>
    <w:p w14:paraId="7B6519C4">
      <w:pPr>
        <w:pStyle w:val="32"/>
        <w:snapToGrid w:val="0"/>
        <w:spacing w:line="312" w:lineRule="auto"/>
        <w:ind w:firstLine="0" w:firstLineChars="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包号：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529"/>
        <w:gridCol w:w="1529"/>
        <w:gridCol w:w="1529"/>
        <w:gridCol w:w="1529"/>
      </w:tblGrid>
      <w:tr w14:paraId="674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D6C59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序号</w:t>
            </w:r>
          </w:p>
        </w:tc>
        <w:tc>
          <w:tcPr>
            <w:tcW w:w="1529" w:type="dxa"/>
            <w:noWrap w:val="0"/>
            <w:vAlign w:val="center"/>
          </w:tcPr>
          <w:p w14:paraId="637E402A">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物资名称</w:t>
            </w:r>
          </w:p>
        </w:tc>
        <w:tc>
          <w:tcPr>
            <w:tcW w:w="1529" w:type="dxa"/>
            <w:noWrap w:val="0"/>
            <w:vAlign w:val="center"/>
          </w:tcPr>
          <w:p w14:paraId="72BC4038">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品牌</w:t>
            </w:r>
          </w:p>
        </w:tc>
        <w:tc>
          <w:tcPr>
            <w:tcW w:w="1529" w:type="dxa"/>
            <w:noWrap w:val="0"/>
            <w:vAlign w:val="center"/>
          </w:tcPr>
          <w:p w14:paraId="1890424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规格型号</w:t>
            </w:r>
          </w:p>
        </w:tc>
        <w:tc>
          <w:tcPr>
            <w:tcW w:w="1529" w:type="dxa"/>
            <w:noWrap w:val="0"/>
            <w:vAlign w:val="center"/>
          </w:tcPr>
          <w:p w14:paraId="12D669E0">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产地</w:t>
            </w:r>
          </w:p>
        </w:tc>
        <w:tc>
          <w:tcPr>
            <w:tcW w:w="1529" w:type="dxa"/>
            <w:noWrap w:val="0"/>
            <w:vAlign w:val="center"/>
          </w:tcPr>
          <w:p w14:paraId="6D4CF2B7">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备注</w:t>
            </w:r>
          </w:p>
        </w:tc>
      </w:tr>
      <w:tr w14:paraId="016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589A7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89D98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A1CA64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01519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2F3EA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A097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812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41F241E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5DEA9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2D49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BA6DBD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CC1A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977708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B9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7A2B9D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67ACE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01B32F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0CBAEA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9FE365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A38FEE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73F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8552AD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2B5F0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8229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C0F6D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AB74C7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33B525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4B0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57EB3C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F5B8CF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8E70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343E87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AFA9A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7E1E6B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9BC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6E4384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04CA7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7C1DB8D">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E31C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D60B0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D6CD52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72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4B38B4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D35048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82483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E84D79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E7E15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1E0545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B1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6AD1D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A2E879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92959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A1FA5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AEE7B0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332181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55B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B8B9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BA06E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CAF7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9890CF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187BF1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6796F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2D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3F22D3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3E859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3DAD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E0CC5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2A5020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B5DF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3777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067DFC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C0A45E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54849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8499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42209E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DD8701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AC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E1C4F4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C14F0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04780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416E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CF7E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827222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02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0E386B0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23D9A2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71C01A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8F405F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8FB87B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26D8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11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D21406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93C71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990019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47056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C205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EEF7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bl>
    <w:p w14:paraId="639703BF">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37802EE5">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7DEB33F2">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12DF54B2">
      <w:pPr>
        <w:pStyle w:val="34"/>
        <w:snapToGrid w:val="0"/>
        <w:spacing w:line="312" w:lineRule="auto"/>
        <w:rPr>
          <w:rFonts w:hint="eastAsia" w:ascii="仿宋" w:eastAsia="仿宋" w:cs="仿宋"/>
          <w:color w:val="auto"/>
          <w:sz w:val="24"/>
          <w:highlight w:val="none"/>
        </w:rPr>
      </w:pPr>
    </w:p>
    <w:p w14:paraId="4C0D796F">
      <w:pPr>
        <w:pageBreakBefore/>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九、最后报价表</w:t>
      </w: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04176AD7">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67AFB0F">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0BB14878">
            <w:pPr>
              <w:tabs>
                <w:tab w:val="left" w:pos="7665"/>
              </w:tabs>
              <w:snapToGrid w:val="0"/>
              <w:spacing w:line="312" w:lineRule="auto"/>
              <w:jc w:val="center"/>
              <w:rPr>
                <w:rFonts w:hint="eastAsia" w:ascii="仿宋" w:hAnsi="仿宋" w:eastAsia="仿宋" w:cs="仿宋"/>
                <w:color w:val="auto"/>
                <w:kern w:val="0"/>
                <w:sz w:val="24"/>
                <w:highlight w:val="none"/>
              </w:rPr>
            </w:pPr>
          </w:p>
        </w:tc>
      </w:tr>
      <w:tr w14:paraId="50EB9A6B">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58D760BB">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DAAC285">
            <w:pPr>
              <w:tabs>
                <w:tab w:val="left" w:pos="7665"/>
              </w:tabs>
              <w:snapToGrid w:val="0"/>
              <w:spacing w:line="312" w:lineRule="auto"/>
              <w:jc w:val="center"/>
              <w:rPr>
                <w:rFonts w:hint="eastAsia" w:ascii="仿宋" w:hAnsi="仿宋" w:eastAsia="仿宋" w:cs="仿宋"/>
                <w:color w:val="auto"/>
                <w:kern w:val="0"/>
                <w:sz w:val="24"/>
                <w:highlight w:val="none"/>
              </w:rPr>
            </w:pPr>
          </w:p>
        </w:tc>
      </w:tr>
      <w:tr w14:paraId="727ADB6C">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245F82EB">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5F00F99">
            <w:pPr>
              <w:tabs>
                <w:tab w:val="left" w:pos="7665"/>
              </w:tabs>
              <w:snapToGrid w:val="0"/>
              <w:spacing w:line="312" w:lineRule="auto"/>
              <w:jc w:val="center"/>
              <w:rPr>
                <w:rFonts w:hint="eastAsia" w:ascii="仿宋" w:hAnsi="仿宋" w:eastAsia="仿宋" w:cs="仿宋"/>
                <w:color w:val="auto"/>
                <w:kern w:val="0"/>
                <w:sz w:val="24"/>
                <w:highlight w:val="none"/>
              </w:rPr>
            </w:pPr>
          </w:p>
        </w:tc>
      </w:tr>
      <w:tr w14:paraId="688D4E93">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6718B24D">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2CAB85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94064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B120541">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5361CB7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E5F09A7">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69B4C9A4">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9B5BB5">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059FD0">
            <w:pPr>
              <w:tabs>
                <w:tab w:val="left" w:pos="7665"/>
              </w:tabs>
              <w:snapToGrid w:val="0"/>
              <w:spacing w:line="312" w:lineRule="auto"/>
              <w:jc w:val="left"/>
              <w:rPr>
                <w:rFonts w:hint="eastAsia" w:ascii="仿宋" w:hAnsi="仿宋" w:eastAsia="仿宋" w:cs="仿宋"/>
                <w:color w:val="auto"/>
                <w:kern w:val="0"/>
                <w:sz w:val="24"/>
                <w:highlight w:val="none"/>
              </w:rPr>
            </w:pPr>
          </w:p>
        </w:tc>
      </w:tr>
      <w:tr w14:paraId="550D7D6A">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C5B9646">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4A4BAD1">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18C031">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A8C33A7">
            <w:pPr>
              <w:tabs>
                <w:tab w:val="left" w:pos="7665"/>
              </w:tabs>
              <w:snapToGrid w:val="0"/>
              <w:spacing w:line="312" w:lineRule="auto"/>
              <w:jc w:val="left"/>
              <w:rPr>
                <w:rFonts w:hint="eastAsia" w:ascii="仿宋" w:hAnsi="仿宋" w:eastAsia="仿宋" w:cs="仿宋"/>
                <w:color w:val="auto"/>
                <w:kern w:val="0"/>
                <w:sz w:val="24"/>
                <w:highlight w:val="none"/>
              </w:rPr>
            </w:pPr>
          </w:p>
        </w:tc>
      </w:tr>
      <w:tr w14:paraId="6E2A18C3">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97E9170">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EE8D838">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35141F">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760F6B8">
            <w:pPr>
              <w:tabs>
                <w:tab w:val="left" w:pos="7665"/>
              </w:tabs>
              <w:snapToGrid w:val="0"/>
              <w:spacing w:line="312" w:lineRule="auto"/>
              <w:jc w:val="left"/>
              <w:rPr>
                <w:rFonts w:hint="eastAsia" w:ascii="仿宋" w:hAnsi="仿宋" w:eastAsia="仿宋" w:cs="仿宋"/>
                <w:color w:val="auto"/>
                <w:kern w:val="0"/>
                <w:sz w:val="24"/>
                <w:highlight w:val="none"/>
              </w:rPr>
            </w:pPr>
          </w:p>
        </w:tc>
      </w:tr>
      <w:tr w14:paraId="7B4F885C">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0E16A177">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1CB3D45D">
      <w:pPr>
        <w:snapToGrid w:val="0"/>
        <w:spacing w:line="312" w:lineRule="auto"/>
        <w:rPr>
          <w:rFonts w:hint="eastAsia" w:ascii="仿宋" w:eastAsia="仿宋" w:cs="仿宋"/>
          <w:color w:val="auto"/>
          <w:highlight w:val="none"/>
        </w:rPr>
      </w:pPr>
    </w:p>
    <w:p w14:paraId="05FBB7CD">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BC2BC3">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B4D950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30E7B40F">
      <w:pPr>
        <w:snapToGrid w:val="0"/>
        <w:spacing w:line="312" w:lineRule="auto"/>
        <w:ind w:firstLine="480" w:firstLineChars="200"/>
        <w:rPr>
          <w:rFonts w:hint="eastAsia" w:ascii="仿宋" w:hAnsi="永中宋体" w:eastAsia="仿宋" w:cs="仿宋"/>
          <w:color w:val="auto"/>
          <w:kern w:val="0"/>
          <w:sz w:val="24"/>
          <w:highlight w:val="none"/>
        </w:rPr>
      </w:pPr>
    </w:p>
    <w:p w14:paraId="49FFAB49">
      <w:pPr>
        <w:snapToGrid w:val="0"/>
        <w:spacing w:line="312" w:lineRule="auto"/>
        <w:ind w:firstLine="480" w:firstLineChars="200"/>
        <w:rPr>
          <w:rFonts w:hint="eastAsia" w:ascii="仿宋" w:hAnsi="永中宋体" w:eastAsia="仿宋" w:cs="仿宋"/>
          <w:color w:val="auto"/>
          <w:kern w:val="0"/>
          <w:sz w:val="24"/>
          <w:highlight w:val="none"/>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7674588D">
      <w:pPr>
        <w:snapToGrid w:val="0"/>
        <w:spacing w:line="312" w:lineRule="auto"/>
        <w:ind w:firstLine="480" w:firstLineChars="200"/>
        <w:rPr>
          <w:rFonts w:hint="eastAsia" w:ascii="仿宋" w:eastAsia="仿宋" w:cs="仿宋"/>
          <w:color w:val="auto"/>
          <w:sz w:val="24"/>
          <w:szCs w:val="24"/>
          <w:highlight w:val="none"/>
        </w:rPr>
      </w:pPr>
      <w:r>
        <w:rPr>
          <w:rFonts w:hint="eastAsia" w:ascii="仿宋" w:hAnsi="永中宋体" w:eastAsia="仿宋" w:cs="仿宋"/>
          <w:color w:val="auto"/>
          <w:kern w:val="0"/>
          <w:sz w:val="24"/>
          <w:highlight w:val="none"/>
        </w:rPr>
        <w:t>2、供应商可不在响应文件中填写并提供此表。此表为磋商结束后，由供应商填写“最后报价”，经供应商法定代表人/单位负责人或代理人签字后密封递交给采购代理机构工作人员，由其收集齐后集中递交磋商小组。供应商在响应文件中提交此表的，不影响其响应文件的有效性，其最后报价以磋商结</w:t>
      </w:r>
      <w:r>
        <w:rPr>
          <w:rFonts w:hint="eastAsia" w:ascii="仿宋" w:eastAsia="仿宋" w:cs="仿宋"/>
          <w:color w:val="auto"/>
          <w:sz w:val="24"/>
          <w:szCs w:val="24"/>
          <w:highlight w:val="none"/>
        </w:rPr>
        <w:t>束后提交的“最后报价”为准。</w:t>
      </w:r>
    </w:p>
    <w:p w14:paraId="61DB51BD">
      <w:pPr>
        <w:snapToGrid w:val="0"/>
        <w:spacing w:line="312" w:lineRule="auto"/>
        <w:ind w:firstLine="480" w:firstLineChars="200"/>
        <w:rPr>
          <w:rFonts w:hint="default" w:ascii="仿宋" w:eastAsia="仿宋" w:cs="仿宋"/>
          <w:color w:val="auto"/>
          <w:highlight w:val="none"/>
          <w:lang w:val="en-US" w:eastAsia="zh-CN"/>
        </w:rPr>
      </w:pPr>
      <w:r>
        <w:rPr>
          <w:rFonts w:hint="eastAsia" w:ascii="仿宋" w:eastAsia="仿宋" w:cs="仿宋"/>
          <w:color w:val="auto"/>
          <w:sz w:val="24"/>
          <w:szCs w:val="24"/>
          <w:highlight w:val="none"/>
        </w:rPr>
        <w:t>3、供应商可自行准备此表磋商现场备用，</w:t>
      </w:r>
      <w:r>
        <w:rPr>
          <w:rFonts w:hint="eastAsia" w:ascii="仿宋" w:eastAsia="仿宋" w:cs="仿宋"/>
          <w:color w:val="auto"/>
          <w:kern w:val="0"/>
          <w:sz w:val="24"/>
          <w:highlight w:val="none"/>
        </w:rPr>
        <w:t>可根据需要自行增加表格进行报价。</w:t>
      </w:r>
      <w:r>
        <w:rPr>
          <w:rFonts w:hint="eastAsia" w:ascii="仿宋" w:eastAsia="仿宋" w:cs="仿宋"/>
          <w:color w:val="auto"/>
          <w:kern w:val="0"/>
          <w:sz w:val="24"/>
          <w:highlight w:val="none"/>
          <w:lang w:val="en-US" w:eastAsia="zh-CN"/>
        </w:rPr>
        <w:t>因各包耗材较多，建议供应商提前准备《最后报价表》。</w:t>
      </w: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1" w:name="_Toc209847065"/>
      <w:bookmarkStart w:id="182" w:name="_Toc101338358"/>
      <w:bookmarkStart w:id="183" w:name="_Toc101174146"/>
      <w:bookmarkStart w:id="184" w:name="_Toc101250640"/>
      <w:bookmarkStart w:id="185"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1"/>
    <w:bookmarkEnd w:id="182"/>
    <w:bookmarkEnd w:id="183"/>
    <w:bookmarkEnd w:id="184"/>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5D3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F97162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3C3EC909">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19844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E0CA83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763BDB4">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13310D9A">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472291ED">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报价20%</w:t>
            </w:r>
          </w:p>
        </w:tc>
        <w:tc>
          <w:tcPr>
            <w:tcW w:w="735" w:type="dxa"/>
            <w:noWrap w:val="0"/>
            <w:vAlign w:val="center"/>
          </w:tcPr>
          <w:p w14:paraId="7BD31BB5">
            <w:pPr>
              <w:spacing w:line="31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737" w:type="dxa"/>
            <w:noWrap w:val="0"/>
            <w:vAlign w:val="center"/>
          </w:tcPr>
          <w:p w14:paraId="76EA3F8D">
            <w:pPr>
              <w:widowControl/>
              <w:snapToGrid w:val="0"/>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p>
          <w:p w14:paraId="5274360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注：对符合小型和微型企业参与投标报价给予10%的扣除，用扣除后的价格参与评审。小微企业应提供《中小企业声明函》原件（残疾人福利性单位应当提供《残疾人福利性单位声明函》原件、监狱企业应当提供《监狱企业证明》）。</w:t>
            </w:r>
          </w:p>
        </w:tc>
        <w:tc>
          <w:tcPr>
            <w:tcW w:w="890" w:type="dxa"/>
            <w:noWrap w:val="0"/>
            <w:vAlign w:val="center"/>
          </w:tcPr>
          <w:p w14:paraId="439A317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7757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27B30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7F2A190A">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供货保障方案</w:t>
            </w:r>
          </w:p>
          <w:p w14:paraId="202E65C9">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p>
        </w:tc>
        <w:tc>
          <w:tcPr>
            <w:tcW w:w="735" w:type="dxa"/>
            <w:noWrap w:val="0"/>
            <w:vAlign w:val="center"/>
          </w:tcPr>
          <w:p w14:paraId="15AEA82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5737" w:type="dxa"/>
            <w:noWrap w:val="0"/>
            <w:vAlign w:val="center"/>
          </w:tcPr>
          <w:p w14:paraId="2325B80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根据供应商提供的供货保障方案进行评审，内容包括：</w:t>
            </w:r>
          </w:p>
          <w:p w14:paraId="4D7540E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（1）货源的稳定性；（2）溯源管理；（3）出入库管理；（4）产品质量质检；（5）内控管理。</w:t>
            </w:r>
            <w:r>
              <w:rPr>
                <w:rFonts w:hint="eastAsia" w:ascii="仿宋" w:hAnsi="仿宋" w:eastAsia="仿宋"/>
                <w:color w:val="auto"/>
                <w:kern w:val="2"/>
                <w:sz w:val="24"/>
                <w:highlight w:val="none"/>
                <w:lang w:val="en-US" w:eastAsia="zh-CN"/>
              </w:rPr>
              <w:t>每具有前述一项细化指标内容满足项目要求得5分，本项最多得25分。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2.5分，每项细化指标分值扣完为止。</w:t>
            </w:r>
          </w:p>
        </w:tc>
        <w:tc>
          <w:tcPr>
            <w:tcW w:w="890" w:type="dxa"/>
            <w:noWrap w:val="0"/>
            <w:vAlign w:val="center"/>
          </w:tcPr>
          <w:p w14:paraId="7B33036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0C1A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9800509">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30696274">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配送方案</w:t>
            </w:r>
          </w:p>
          <w:p w14:paraId="0B68A61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6877D63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5052CAB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根据供应商提供的配送方案进行评审，内容包括：</w:t>
            </w:r>
          </w:p>
          <w:p w14:paraId="37CB73E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（1）配送时效保障；（2）人员及设备方案；（3）应急配送协调管理；（4）配送安全保障。</w:t>
            </w:r>
            <w:r>
              <w:rPr>
                <w:rFonts w:hint="eastAsia" w:ascii="仿宋" w:hAnsi="仿宋" w:eastAsia="仿宋"/>
                <w:color w:val="auto"/>
                <w:kern w:val="2"/>
                <w:sz w:val="24"/>
                <w:highlight w:val="none"/>
                <w:lang w:val="en-US" w:eastAsia="zh-CN"/>
              </w:rPr>
              <w:t>每具有前述一项细化指标内容满足项目要求得3分，本项最多得12分。</w:t>
            </w:r>
          </w:p>
          <w:p w14:paraId="23AFAFC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6EBF757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AC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315DB36">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7E46EE7B">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售后服务方案9%</w:t>
            </w:r>
          </w:p>
        </w:tc>
        <w:tc>
          <w:tcPr>
            <w:tcW w:w="735" w:type="dxa"/>
            <w:noWrap w:val="0"/>
            <w:vAlign w:val="center"/>
          </w:tcPr>
          <w:p w14:paraId="13DEB40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9分</w:t>
            </w:r>
          </w:p>
        </w:tc>
        <w:tc>
          <w:tcPr>
            <w:tcW w:w="5737" w:type="dxa"/>
            <w:noWrap w:val="0"/>
            <w:vAlign w:val="center"/>
          </w:tcPr>
          <w:p w14:paraId="6942362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售后服务方案</w:t>
            </w:r>
            <w:r>
              <w:rPr>
                <w:rFonts w:hint="eastAsia" w:ascii="仿宋" w:hAnsi="仿宋" w:eastAsia="仿宋" w:cs="仿宋"/>
                <w:color w:val="auto"/>
                <w:kern w:val="2"/>
                <w:sz w:val="24"/>
                <w:highlight w:val="none"/>
                <w:lang w:val="en-US" w:eastAsia="zh-CN"/>
              </w:rPr>
              <w:t>进行评审，内容包括：</w:t>
            </w:r>
          </w:p>
          <w:p w14:paraId="6CDBAA3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（1）售后人员配置及售现场支持；（2）售后应急响应；（3）备品备件安排。</w:t>
            </w:r>
          </w:p>
          <w:p w14:paraId="6DA1E66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每具有前述一项细化指标内容满足项目要求得3分，本项最多得9分。</w:t>
            </w:r>
          </w:p>
          <w:p w14:paraId="24867309">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0940715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28A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077024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469298A9">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履约能力12%</w:t>
            </w:r>
          </w:p>
        </w:tc>
        <w:tc>
          <w:tcPr>
            <w:tcW w:w="735" w:type="dxa"/>
            <w:noWrap w:val="0"/>
            <w:vAlign w:val="center"/>
          </w:tcPr>
          <w:p w14:paraId="02ACE56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745008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供应商提供2021年1月1日至今的类似项目业绩，每提供一个业绩得3分，本项最多得12分。</w:t>
            </w:r>
          </w:p>
          <w:p w14:paraId="1061699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09A0F80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B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9EC78B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05" w:type="dxa"/>
            <w:noWrap w:val="0"/>
            <w:vAlign w:val="center"/>
          </w:tcPr>
          <w:p w14:paraId="124A181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服务能力22%</w:t>
            </w:r>
          </w:p>
        </w:tc>
        <w:tc>
          <w:tcPr>
            <w:tcW w:w="735" w:type="dxa"/>
            <w:noWrap w:val="0"/>
            <w:vAlign w:val="center"/>
          </w:tcPr>
          <w:p w14:paraId="797EB1D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w:t>
            </w:r>
          </w:p>
        </w:tc>
        <w:tc>
          <w:tcPr>
            <w:tcW w:w="5737" w:type="dxa"/>
            <w:noWrap w:val="0"/>
            <w:vAlign w:val="center"/>
          </w:tcPr>
          <w:p w14:paraId="091929EA">
            <w:pPr>
              <w:pStyle w:val="7"/>
              <w:numPr>
                <w:ilvl w:val="0"/>
                <w:numId w:val="16"/>
              </w:numPr>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供应商拥有耗材存储仓库，其中面积小于10平方米不得分，10（含）-20得3分，20（含）-30得4分，30（含)-40得5分，40及以上得6分；</w:t>
            </w:r>
          </w:p>
          <w:p w14:paraId="70B8AF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注：自有的需提供场地的产权证明或买卖合同及场地内部照片；若场地为租赁的，需要提供场地的产权证明、场地内部照片及租赁协议。（以上复印件即可，需图像文字清晰）</w:t>
            </w:r>
          </w:p>
          <w:p w14:paraId="35B8179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（2）供应商具有一辆普通运输车得2分，具有冷链运输车得2分，本项最多得4分。</w:t>
            </w:r>
          </w:p>
          <w:p w14:paraId="48FBFA3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注：自有的提供有效的车辆行驶证及车辆外部照片，租赁的提供车辆租赁协议、有效的车辆行驶证、车辆外部照片。（以上复印件即可，需图像文字清晰）</w:t>
            </w:r>
          </w:p>
          <w:p w14:paraId="451C7A79">
            <w:pPr>
              <w:pStyle w:val="7"/>
              <w:spacing w:after="0" w:line="312" w:lineRule="auto"/>
              <w:rPr>
                <w:rFonts w:hint="eastAsia"/>
                <w:color w:val="auto"/>
                <w:kern w:val="2"/>
                <w:sz w:val="21"/>
                <w:highlight w:val="none"/>
                <w:lang w:val="en-US" w:eastAsia="zh-CN"/>
              </w:rPr>
            </w:pPr>
            <w:r>
              <w:rPr>
                <w:rFonts w:hint="eastAsia" w:ascii="仿宋" w:hAnsi="仿宋" w:eastAsia="仿宋" w:cs="仿宋"/>
                <w:color w:val="auto"/>
                <w:kern w:val="2"/>
                <w:sz w:val="24"/>
                <w:highlight w:val="none"/>
                <w:lang w:val="en-US" w:eastAsia="zh-CN"/>
              </w:rPr>
              <w:t>（3）供应商团队人员中每有一人具备医药相关专业专科学历得2分；医药相关专业本科及以上或具备医药相关职称或技能认证证书得4分；最多得12分，需提供人员在职证明及证书复印件。注：证书指毕业证或学位证或职称或技能认证证书。</w:t>
            </w:r>
          </w:p>
        </w:tc>
        <w:tc>
          <w:tcPr>
            <w:tcW w:w="890" w:type="dxa"/>
            <w:noWrap w:val="0"/>
            <w:vAlign w:val="center"/>
          </w:tcPr>
          <w:p w14:paraId="387CF3F8">
            <w:pPr>
              <w:pStyle w:val="7"/>
              <w:spacing w:after="0" w:line="312" w:lineRule="auto"/>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共同评分因素</w:t>
            </w:r>
          </w:p>
        </w:tc>
      </w:tr>
    </w:tbl>
    <w:p w14:paraId="3F922495">
      <w:pPr>
        <w:snapToGrid w:val="0"/>
        <w:spacing w:line="312" w:lineRule="auto"/>
        <w:ind w:firstLine="482" w:firstLineChars="200"/>
        <w:rPr>
          <w:rFonts w:hint="eastAsia" w:ascii="仿宋" w:hAnsi="仿宋" w:eastAsia="仿宋" w:cs="仿宋"/>
          <w:b/>
          <w:color w:val="auto"/>
          <w:sz w:val="24"/>
          <w:szCs w:val="24"/>
          <w:highlight w:val="none"/>
        </w:rPr>
      </w:pPr>
    </w:p>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5"/>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auto"/>
    <w:pitch w:val="default"/>
    <w:sig w:usb0="00000000" w:usb1="00000000" w:usb2="00000000" w:usb3="00000000" w:csb0="80000000" w:csb1="00000000"/>
  </w:font>
  <w:font w:name="永中宋体">
    <w:altName w:val="宋体"/>
    <w:panose1 w:val="02010600030101010101"/>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6255D"/>
    <w:multiLevelType w:val="singleLevel"/>
    <w:tmpl w:val="5A56255D"/>
    <w:lvl w:ilvl="0" w:tentative="0">
      <w:start w:val="1"/>
      <w:numFmt w:val="decimal"/>
      <w:suff w:val="nothing"/>
      <w:lvlText w:val="（%1）"/>
      <w:lvlJc w:val="left"/>
    </w:lvl>
  </w:abstractNum>
  <w:abstractNum w:abstractNumId="11">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1"/>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1B4775"/>
    <w:rsid w:val="025D4D8E"/>
    <w:rsid w:val="02B4138D"/>
    <w:rsid w:val="02E828A9"/>
    <w:rsid w:val="04287589"/>
    <w:rsid w:val="0495080F"/>
    <w:rsid w:val="056B77C2"/>
    <w:rsid w:val="08716E9D"/>
    <w:rsid w:val="08E12275"/>
    <w:rsid w:val="09281DE8"/>
    <w:rsid w:val="09D05E45"/>
    <w:rsid w:val="09E509F9"/>
    <w:rsid w:val="0A7E3AF3"/>
    <w:rsid w:val="0AC21C32"/>
    <w:rsid w:val="0B0264D2"/>
    <w:rsid w:val="0B204BAA"/>
    <w:rsid w:val="0B5036E2"/>
    <w:rsid w:val="0BD51E39"/>
    <w:rsid w:val="0D690A8B"/>
    <w:rsid w:val="0DB241E0"/>
    <w:rsid w:val="0F6634D4"/>
    <w:rsid w:val="0FED7751"/>
    <w:rsid w:val="119F3673"/>
    <w:rsid w:val="122C1A1E"/>
    <w:rsid w:val="159E5049"/>
    <w:rsid w:val="15B42ABF"/>
    <w:rsid w:val="16223ECC"/>
    <w:rsid w:val="18716A45"/>
    <w:rsid w:val="18CE5C46"/>
    <w:rsid w:val="18D72D4C"/>
    <w:rsid w:val="19F63AEC"/>
    <w:rsid w:val="1B6C3693"/>
    <w:rsid w:val="1B95115E"/>
    <w:rsid w:val="1C3A1F70"/>
    <w:rsid w:val="1C432979"/>
    <w:rsid w:val="1DCB6BF8"/>
    <w:rsid w:val="1E8A260F"/>
    <w:rsid w:val="21E32762"/>
    <w:rsid w:val="22BE6D2B"/>
    <w:rsid w:val="22EC4F11"/>
    <w:rsid w:val="22EE1374"/>
    <w:rsid w:val="237D2742"/>
    <w:rsid w:val="240370EB"/>
    <w:rsid w:val="2482516F"/>
    <w:rsid w:val="249B7324"/>
    <w:rsid w:val="24EE69B8"/>
    <w:rsid w:val="2530157D"/>
    <w:rsid w:val="25983863"/>
    <w:rsid w:val="25A466AC"/>
    <w:rsid w:val="270A253F"/>
    <w:rsid w:val="2758774E"/>
    <w:rsid w:val="27C31EDE"/>
    <w:rsid w:val="27C70430"/>
    <w:rsid w:val="27DD23C6"/>
    <w:rsid w:val="2A236521"/>
    <w:rsid w:val="2BC74EA2"/>
    <w:rsid w:val="2C163734"/>
    <w:rsid w:val="2D3A16A4"/>
    <w:rsid w:val="2E0A72C8"/>
    <w:rsid w:val="2F3C1703"/>
    <w:rsid w:val="305B3E0B"/>
    <w:rsid w:val="320A5AE9"/>
    <w:rsid w:val="32342B66"/>
    <w:rsid w:val="32625925"/>
    <w:rsid w:val="336D1641"/>
    <w:rsid w:val="33D463AE"/>
    <w:rsid w:val="33DA5E7C"/>
    <w:rsid w:val="344352E2"/>
    <w:rsid w:val="34796F56"/>
    <w:rsid w:val="35CF0941"/>
    <w:rsid w:val="35FE5964"/>
    <w:rsid w:val="36513106"/>
    <w:rsid w:val="36BE50F4"/>
    <w:rsid w:val="371B2546"/>
    <w:rsid w:val="37826121"/>
    <w:rsid w:val="37E961A0"/>
    <w:rsid w:val="3905700A"/>
    <w:rsid w:val="39074B30"/>
    <w:rsid w:val="39894CD8"/>
    <w:rsid w:val="3A4818A4"/>
    <w:rsid w:val="3E0378CA"/>
    <w:rsid w:val="3E5A1BA6"/>
    <w:rsid w:val="3E9E1A93"/>
    <w:rsid w:val="3EDC080D"/>
    <w:rsid w:val="3F4A1C1A"/>
    <w:rsid w:val="40532D51"/>
    <w:rsid w:val="4070745F"/>
    <w:rsid w:val="40D32254"/>
    <w:rsid w:val="41CD6CF7"/>
    <w:rsid w:val="41DB4DAC"/>
    <w:rsid w:val="42310E70"/>
    <w:rsid w:val="43081BD1"/>
    <w:rsid w:val="43456981"/>
    <w:rsid w:val="439B2A45"/>
    <w:rsid w:val="43A55671"/>
    <w:rsid w:val="44CF48BB"/>
    <w:rsid w:val="460D74FE"/>
    <w:rsid w:val="466B2BA2"/>
    <w:rsid w:val="466C06C8"/>
    <w:rsid w:val="46E464B1"/>
    <w:rsid w:val="476D46F8"/>
    <w:rsid w:val="47C562E2"/>
    <w:rsid w:val="49027AF5"/>
    <w:rsid w:val="499B2623"/>
    <w:rsid w:val="4AEC627C"/>
    <w:rsid w:val="4B155517"/>
    <w:rsid w:val="4B4E4840"/>
    <w:rsid w:val="4CA87F80"/>
    <w:rsid w:val="4CFA6A2E"/>
    <w:rsid w:val="4D4E0B28"/>
    <w:rsid w:val="4E0B4C6B"/>
    <w:rsid w:val="4E5B34FC"/>
    <w:rsid w:val="4E600B13"/>
    <w:rsid w:val="4EF23735"/>
    <w:rsid w:val="507E108F"/>
    <w:rsid w:val="51510BE7"/>
    <w:rsid w:val="51FA302C"/>
    <w:rsid w:val="52CD0741"/>
    <w:rsid w:val="531B76FE"/>
    <w:rsid w:val="531C2067"/>
    <w:rsid w:val="535B5D4C"/>
    <w:rsid w:val="53937C6F"/>
    <w:rsid w:val="540F6177"/>
    <w:rsid w:val="55943798"/>
    <w:rsid w:val="561B17C3"/>
    <w:rsid w:val="56933A4F"/>
    <w:rsid w:val="56AE2637"/>
    <w:rsid w:val="56FC33A3"/>
    <w:rsid w:val="574D3BFE"/>
    <w:rsid w:val="582E1C82"/>
    <w:rsid w:val="58B44286"/>
    <w:rsid w:val="58D02D39"/>
    <w:rsid w:val="59401C6C"/>
    <w:rsid w:val="59CA59DA"/>
    <w:rsid w:val="5AA61FA3"/>
    <w:rsid w:val="5B490B80"/>
    <w:rsid w:val="5BDD2F8A"/>
    <w:rsid w:val="5C1A3C8F"/>
    <w:rsid w:val="5D6121B1"/>
    <w:rsid w:val="5D891708"/>
    <w:rsid w:val="5DB03139"/>
    <w:rsid w:val="5E111E29"/>
    <w:rsid w:val="5E460CAD"/>
    <w:rsid w:val="5EA507C4"/>
    <w:rsid w:val="602446D4"/>
    <w:rsid w:val="609603C4"/>
    <w:rsid w:val="61C13B66"/>
    <w:rsid w:val="620F4693"/>
    <w:rsid w:val="62E23D94"/>
    <w:rsid w:val="630261E5"/>
    <w:rsid w:val="63057A83"/>
    <w:rsid w:val="639D3C37"/>
    <w:rsid w:val="65A155DF"/>
    <w:rsid w:val="6718441B"/>
    <w:rsid w:val="67AB0BF9"/>
    <w:rsid w:val="69782D5D"/>
    <w:rsid w:val="69DF2DDC"/>
    <w:rsid w:val="69DF4B8A"/>
    <w:rsid w:val="6C3F5DB4"/>
    <w:rsid w:val="6D3F3B91"/>
    <w:rsid w:val="6E8C1058"/>
    <w:rsid w:val="700E441B"/>
    <w:rsid w:val="70425E72"/>
    <w:rsid w:val="7096180D"/>
    <w:rsid w:val="709C047E"/>
    <w:rsid w:val="71241A1C"/>
    <w:rsid w:val="71357785"/>
    <w:rsid w:val="71A5490B"/>
    <w:rsid w:val="71D60F68"/>
    <w:rsid w:val="72FB2FEF"/>
    <w:rsid w:val="731C0BFD"/>
    <w:rsid w:val="738833B6"/>
    <w:rsid w:val="73E86D31"/>
    <w:rsid w:val="743261FE"/>
    <w:rsid w:val="744B2DDA"/>
    <w:rsid w:val="74850A24"/>
    <w:rsid w:val="75BF14D2"/>
    <w:rsid w:val="75EB0D5A"/>
    <w:rsid w:val="76C9109B"/>
    <w:rsid w:val="76E557A9"/>
    <w:rsid w:val="77905715"/>
    <w:rsid w:val="78BD69DE"/>
    <w:rsid w:val="79A4194C"/>
    <w:rsid w:val="7A044199"/>
    <w:rsid w:val="7AF366E7"/>
    <w:rsid w:val="7B17584D"/>
    <w:rsid w:val="7B3A0B7D"/>
    <w:rsid w:val="7B6A5D5B"/>
    <w:rsid w:val="7C376AA7"/>
    <w:rsid w:val="7CFA7954"/>
    <w:rsid w:val="7DCE6F97"/>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next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character" w:customStyle="1" w:styleId="49">
    <w:name w:val="font21"/>
    <w:basedOn w:val="22"/>
    <w:qFormat/>
    <w:uiPriority w:val="0"/>
    <w:rPr>
      <w:rFonts w:hint="eastAsia" w:ascii="宋体" w:hAnsi="宋体" w:eastAsia="宋体" w:cs="宋体"/>
      <w:color w:val="000000"/>
      <w:sz w:val="21"/>
      <w:szCs w:val="21"/>
      <w:u w:val="none"/>
    </w:rPr>
  </w:style>
  <w:style w:type="character" w:customStyle="1" w:styleId="50">
    <w:name w:val="font31"/>
    <w:basedOn w:val="2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3120</Words>
  <Characters>3371</Characters>
  <Lines>0</Lines>
  <Paragraphs>0</Paragraphs>
  <TotalTime>6</TotalTime>
  <ScaleCrop>false</ScaleCrop>
  <LinksUpToDate>false</LinksUpToDate>
  <CharactersWithSpaces>3456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Blue</cp:lastModifiedBy>
  <dcterms:modified xsi:type="dcterms:W3CDTF">2025-08-15T07:00:37Z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BC8FF386596245D598171178AAED45CE_13</vt:lpwstr>
  </property>
  <property fmtid="{D5CDD505-2E9C-101B-9397-08002B2CF9AE}" pid="4" name="KSOTemplateDocerSaveRecord">
    <vt:lpwstr>eyJoZGlkIjoiNGNkOWI0Y2FhNjIyNTc4MzZjZGFkY2ZmZGY2NTM4MjYiLCJ1c2VySWQiOiIyNjk2NDYxOTkifQ==</vt:lpwstr>
  </property>
</Properties>
</file>